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Schedule 1 (Definitions)</w:t>
      </w:r>
    </w:p>
    <w:p w:rsidR="00000000" w:rsidDel="00000000" w:rsidP="00000000" w:rsidRDefault="00000000" w:rsidRPr="00000000" w14:paraId="00000002">
      <w:pPr>
        <w:keepNext w:val="1"/>
        <w:numPr>
          <w:ilvl w:val="0"/>
          <w:numId w:val="4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3">
      <w:pPr>
        <w:numPr>
          <w:ilvl w:val="1"/>
          <w:numId w:val="42"/>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Contract, unless the context otherwise requires, capitalised expressions shall have the meanings set out in this Schedule 1 (Definitions) or the relevant Schedule in which that capitalised expression appears.</w:t>
      </w:r>
    </w:p>
    <w:p w:rsidR="00000000" w:rsidDel="00000000" w:rsidP="00000000" w:rsidRDefault="00000000" w:rsidRPr="00000000" w14:paraId="00000004">
      <w:pPr>
        <w:numPr>
          <w:ilvl w:val="1"/>
          <w:numId w:val="42"/>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keepNext w:val="1"/>
        <w:numPr>
          <w:ilvl w:val="1"/>
          <w:numId w:val="42"/>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Contract, unless the context otherwise requires:</w:t>
      </w:r>
    </w:p>
    <w:p w:rsidR="00000000" w:rsidDel="00000000" w:rsidP="00000000" w:rsidRDefault="00000000" w:rsidRPr="00000000" w14:paraId="00000006">
      <w:pPr>
        <w:numPr>
          <w:ilvl w:val="2"/>
          <w:numId w:val="4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7">
      <w:pPr>
        <w:numPr>
          <w:ilvl w:val="2"/>
          <w:numId w:val="4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Crown Body;</w:t>
      </w:r>
    </w:p>
    <w:p w:rsidR="00000000" w:rsidDel="00000000" w:rsidP="00000000" w:rsidRDefault="00000000" w:rsidRPr="00000000" w14:paraId="00000008">
      <w:pPr>
        <w:numPr>
          <w:ilvl w:val="2"/>
          <w:numId w:val="4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replaced or re-enacted from time to time (including as a consequence of the Retained EU Law (Revocation and Reform) Act 2023);</w:t>
      </w:r>
    </w:p>
    <w:p w:rsidR="00000000" w:rsidDel="00000000" w:rsidP="00000000" w:rsidRDefault="00000000" w:rsidRPr="00000000" w14:paraId="00000009">
      <w:pPr>
        <w:numPr>
          <w:ilvl w:val="2"/>
          <w:numId w:val="4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A">
      <w:pPr>
        <w:numPr>
          <w:ilvl w:val="2"/>
          <w:numId w:val="4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numPr>
          <w:ilvl w:val="2"/>
          <w:numId w:val="4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this Contract; </w:t>
      </w:r>
    </w:p>
    <w:p w:rsidR="00000000" w:rsidDel="00000000" w:rsidP="00000000" w:rsidRDefault="00000000" w:rsidRPr="00000000" w14:paraId="0000000C">
      <w:pPr>
        <w:numPr>
          <w:ilvl w:val="2"/>
          <w:numId w:val="4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numPr>
          <w:ilvl w:val="2"/>
          <w:numId w:val="4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E">
      <w:pPr>
        <w:numPr>
          <w:ilvl w:val="2"/>
          <w:numId w:val="4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0F">
      <w:pPr>
        <w:numPr>
          <w:ilvl w:val="2"/>
          <w:numId w:val="4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Crown Body the Supplier shall be treated as contracting with the Crown as a whole; and</w:t>
      </w:r>
    </w:p>
    <w:p w:rsidR="00000000" w:rsidDel="00000000" w:rsidP="00000000" w:rsidRDefault="00000000" w:rsidRPr="00000000" w14:paraId="00000010">
      <w:pPr>
        <w:numPr>
          <w:ilvl w:val="2"/>
          <w:numId w:val="4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this Contract which immediately before IP Completion Day (or such later date when relevant EU law ceases to have effect pursuant to Section 1A of the European Union (Withdrawal) Act 2018) is a reference to (as it has effect from time to time) 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 </w:t>
      </w:r>
    </w:p>
    <w:p w:rsidR="00000000" w:rsidDel="00000000" w:rsidP="00000000" w:rsidRDefault="00000000" w:rsidRPr="00000000" w14:paraId="00000011">
      <w:pPr>
        <w:keepNext w:val="1"/>
        <w:numPr>
          <w:ilvl w:val="1"/>
          <w:numId w:val="42"/>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Contract, unless the context otherwise requires, the following words shall have the following meanings:</w:t>
      </w:r>
    </w:p>
    <w:tbl>
      <w:tblPr>
        <w:tblStyle w:val="Table1"/>
        <w:tblW w:w="8079.000000000001" w:type="dxa"/>
        <w:jc w:val="left"/>
        <w:tblInd w:w="9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5816"/>
        <w:tblGridChange w:id="0">
          <w:tblGrid>
            <w:gridCol w:w="2263"/>
            <w:gridCol w:w="5816"/>
          </w:tblGrid>
        </w:tblGridChange>
      </w:tblGrid>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bookmarkStart w:colFirst="0" w:colLast="0" w:name="_heading=h.30j0zll" w:id="0"/>
            <w:bookmarkEnd w:id="0"/>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FDE Group Member"</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entity (if any) specified as an Additional FDE Group Member in Part A of Annex 3 of Schedule 24 (Financial Difficulties);</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"Allowable Assumptions"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assumptions (if any) set out in Annex 2 of Schedule 3 (Charges);</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79"/>
              </w:tabs>
              <w:spacing w:after="120" w:before="120" w:lineRule="auto"/>
              <w:ind w:left="17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"Associates"</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9"/>
              </w:tabs>
              <w:spacing w:after="120" w:before="120" w:lineRule="auto"/>
              <w:ind w:left="17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right to:</w:t>
            </w:r>
          </w:p>
          <w:p w:rsidR="00000000" w:rsidDel="00000000" w:rsidP="00000000" w:rsidRDefault="00000000" w:rsidRPr="00000000" w14:paraId="00000024">
            <w:pPr>
              <w:numPr>
                <w:ilvl w:val="0"/>
                <w:numId w:val="6"/>
              </w:numPr>
              <w:pBdr>
                <w:top w:space="0" w:sz="0" w:val="nil"/>
                <w:left w:space="0" w:sz="0" w:val="nil"/>
                <w:bottom w:space="0" w:sz="0" w:val="nil"/>
                <w:right w:space="0" w:sz="0" w:val="nil"/>
                <w:between w:space="0" w:sz="0" w:val="nil"/>
              </w:pBdr>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integrity and content of any Financial Report;</w:t>
            </w:r>
          </w:p>
          <w:p w:rsidR="00000000" w:rsidDel="00000000" w:rsidP="00000000" w:rsidRDefault="00000000" w:rsidRPr="00000000" w14:paraId="00000025">
            <w:pPr>
              <w:numPr>
                <w:ilvl w:val="0"/>
                <w:numId w:val="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the Buyer under a Contract (including proposed or actual variations to them in accordance with this Contract); </w:t>
            </w:r>
          </w:p>
          <w:p w:rsidR="00000000" w:rsidDel="00000000" w:rsidP="00000000" w:rsidRDefault="00000000" w:rsidRPr="00000000" w14:paraId="00000026">
            <w:pPr>
              <w:numPr>
                <w:ilvl w:val="0"/>
                <w:numId w:val="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7">
            <w:pPr>
              <w:numPr>
                <w:ilvl w:val="0"/>
                <w:numId w:val="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8">
            <w:pPr>
              <w:numPr>
                <w:ilvl w:val="0"/>
                <w:numId w:val="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applicable Law;</w:t>
            </w:r>
          </w:p>
          <w:p w:rsidR="00000000" w:rsidDel="00000000" w:rsidP="00000000" w:rsidRDefault="00000000" w:rsidRPr="00000000" w14:paraId="00000029">
            <w:pPr>
              <w:numPr>
                <w:ilvl w:val="0"/>
                <w:numId w:val="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3 to 37 and/or Schedule 26 (Sustainability), impropriety or accounting mistakes or any breach or threatened breach of security and in these circumstances the Buyer shall have no obligation to inform the Supplier of the purpose or objective of its investigations;</w:t>
            </w:r>
          </w:p>
          <w:p w:rsidR="00000000" w:rsidDel="00000000" w:rsidP="00000000" w:rsidRDefault="00000000" w:rsidRPr="00000000" w14:paraId="0000002A">
            <w:pPr>
              <w:numPr>
                <w:ilvl w:val="0"/>
                <w:numId w:val="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B">
            <w:pPr>
              <w:numPr>
                <w:ilvl w:val="0"/>
                <w:numId w:val="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Buyer’s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2C">
            <w:pPr>
              <w:numPr>
                <w:ilvl w:val="0"/>
                <w:numId w:val="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this Contract;</w:t>
            </w:r>
          </w:p>
          <w:p w:rsidR="00000000" w:rsidDel="00000000" w:rsidP="00000000" w:rsidRDefault="00000000" w:rsidRPr="00000000" w14:paraId="0000002D">
            <w:pPr>
              <w:numPr>
                <w:ilvl w:val="0"/>
                <w:numId w:val="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Buyer’s internal and statutory audits and to prepare, examine and/or certify the Buyer's annual and interim reports and accounts;</w:t>
            </w:r>
          </w:p>
          <w:p w:rsidR="00000000" w:rsidDel="00000000" w:rsidP="00000000" w:rsidRDefault="00000000" w:rsidRPr="00000000" w14:paraId="0000002E">
            <w:pPr>
              <w:numPr>
                <w:ilvl w:val="0"/>
                <w:numId w:val="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Buyer has used its resources;</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0">
            <w:pPr>
              <w:numPr>
                <w:ilvl w:val="0"/>
                <w:numId w:val="3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internal and external auditors;</w:t>
            </w:r>
          </w:p>
          <w:p w:rsidR="00000000" w:rsidDel="00000000" w:rsidP="00000000" w:rsidRDefault="00000000" w:rsidRPr="00000000" w14:paraId="00000031">
            <w:pPr>
              <w:numPr>
                <w:ilvl w:val="0"/>
                <w:numId w:val="3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statutory or regulatory auditors;</w:t>
            </w:r>
          </w:p>
          <w:p w:rsidR="00000000" w:rsidDel="00000000" w:rsidP="00000000" w:rsidRDefault="00000000" w:rsidRPr="00000000" w14:paraId="00000032">
            <w:pPr>
              <w:numPr>
                <w:ilvl w:val="0"/>
                <w:numId w:val="3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3">
            <w:pPr>
              <w:numPr>
                <w:ilvl w:val="0"/>
                <w:numId w:val="3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4">
            <w:pPr>
              <w:numPr>
                <w:ilvl w:val="0"/>
                <w:numId w:val="3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Buyer to carry out audit or similar review functions; and</w:t>
            </w:r>
          </w:p>
          <w:p w:rsidR="00000000" w:rsidDel="00000000" w:rsidP="00000000" w:rsidRDefault="00000000" w:rsidRPr="00000000" w14:paraId="00000035">
            <w:pPr>
              <w:numPr>
                <w:ilvl w:val="0"/>
                <w:numId w:val="3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"Award Form"</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Incorporated Terms and crucial information required for this Contract, to be executed by the Supplier and the Buyer;</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480" w:lineRule="auto"/>
              <w:ind w:left="5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480" w:lineRule="auto"/>
              <w:ind w:left="5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sector purchaser identified as such in the Order Form;</w:t>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5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this Contract;</w:t>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this Contract initially identified in the Award Form;</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Cause"</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Award Form;</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Existing IPR"</w:t>
            </w:r>
          </w:p>
        </w:tc>
        <w:tc>
          <w:tcPr/>
          <w:p w:rsidR="00000000" w:rsidDel="00000000" w:rsidP="00000000" w:rsidRDefault="00000000" w:rsidRPr="00000000" w14:paraId="00000043">
            <w:pPr>
              <w:keepNext w:val="1"/>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and all IPR that are owned by or licensed to the Buyer, and where the Buyer is a Crown Body, any Crown IPR, and which are or have been developed independently of this Contract (whether prior to the Effective Date or otherwise) but excluding Buyer Software];</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Property"</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property, other than real property and IPR, including the Buyer System, any equipment issued or made available to the Supplier by the Buyer in connection with this Contract;</w:t>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Software”</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which is owned by or licensed to the Buyer and which is or will be used by the Supplier for the purposes of providing the Deliverables;</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System"</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Third Party"</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supplier to the Buyer (other than the Supplier), which is notified to the Supplier from time to time;</w:t>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"Buyer's Confidential Information"</w:t>
            </w:r>
          </w:p>
        </w:tc>
        <w:tc>
          <w:tcPr/>
          <w:p w:rsidR="00000000" w:rsidDel="00000000" w:rsidP="00000000" w:rsidRDefault="00000000" w:rsidRPr="00000000" w14:paraId="0000004F">
            <w:pPr>
              <w:numPr>
                <w:ilvl w:val="0"/>
                <w:numId w:val="3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Buyer (including all Buyer Existing IPR and New IPR); </w:t>
            </w:r>
          </w:p>
          <w:p w:rsidR="00000000" w:rsidDel="00000000" w:rsidP="00000000" w:rsidRDefault="00000000" w:rsidRPr="00000000" w14:paraId="00000050">
            <w:pPr>
              <w:numPr>
                <w:ilvl w:val="0"/>
                <w:numId w:val="3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Buyer’s attention or into the Buyer’s possession in connection with this Contract; and</w:t>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this Contract which comes into force after the Effective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this Contract, as set out in the Award Form, for the full and proper performance by the Supplier of its obligations under this Contract less any Deductions;</w:t>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Schedule 5 (Commercially Sensitive Information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the Buyer under this Contract, in the reasonable opinion of the Buyer;</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which consists of the terms set out and referred to in the Award Form;</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this Contract from the earlier of the:</w:t>
            </w:r>
          </w:p>
          <w:p w:rsidR="00000000" w:rsidDel="00000000" w:rsidP="00000000" w:rsidRDefault="00000000" w:rsidRPr="00000000" w14:paraId="00000066">
            <w:pPr>
              <w:numPr>
                <w:ilvl w:val="0"/>
                <w:numId w:val="20"/>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Start Date; or</w:t>
            </w:r>
          </w:p>
          <w:p w:rsidR="00000000" w:rsidDel="00000000" w:rsidP="00000000" w:rsidRDefault="00000000" w:rsidRPr="00000000" w14:paraId="00000067">
            <w:pPr>
              <w:numPr>
                <w:ilvl w:val="0"/>
                <w:numId w:val="20"/>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Effective Date,</w:t>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69"/>
              </w:tabs>
              <w:spacing w:after="120" w:before="120" w:lineRule="auto"/>
              <w:ind w:firstLine="16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until the End Date;</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this Contract where all obligations are met by the Supplier;</w:t>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Effective Date or each anniversary thereof;</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terms and conditions which apply to and comprise one part of this Contract set out in the document called "</w:t>
            </w:r>
            <w:r w:rsidDel="00000000" w:rsidR="00000000" w:rsidRPr="00000000">
              <w:rPr>
                <w:rFonts w:ascii="Arial" w:cs="Arial" w:eastAsia="Arial" w:hAnsi="Arial"/>
                <w:b w:val="1"/>
                <w:color w:val="000000"/>
                <w:sz w:val="24"/>
                <w:szCs w:val="24"/>
                <w:rtl w:val="0"/>
              </w:rPr>
              <w:t xml:space="preserve">Core Terms</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75">
            <w:pPr>
              <w:numPr>
                <w:ilvl w:val="0"/>
                <w:numId w:val="21"/>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bookmarkStart w:colFirst="0" w:colLast="0" w:name="_heading=h.2s8eyo1" w:id="1"/>
            <w:bookmarkEnd w:id="1"/>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76">
            <w:pPr>
              <w:numPr>
                <w:ilvl w:val="4"/>
                <w:numId w:val="42"/>
              </w:numPr>
              <w:pBdr>
                <w:top w:space="0" w:sz="0" w:val="nil"/>
                <w:left w:space="0" w:sz="0" w:val="nil"/>
                <w:bottom w:space="0" w:sz="0" w:val="nil"/>
                <w:right w:space="0" w:sz="0" w:val="nil"/>
                <w:between w:space="0" w:sz="0" w:val="nil"/>
              </w:pBdr>
              <w:tabs>
                <w:tab w:val="left" w:leader="none" w:pos="1728"/>
                <w:tab w:val="left" w:leader="none" w:pos="2012"/>
                <w:tab w:val="left" w:leader="none" w:pos="3402"/>
                <w:tab w:val="left" w:leader="none" w:pos="1488"/>
              </w:tabs>
              <w:spacing w:after="120" w:before="120" w:lineRule="auto"/>
              <w:ind w:left="1728"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base salary paid to the Supplier Staff;</w:t>
            </w:r>
            <w:r w:rsidDel="00000000" w:rsidR="00000000" w:rsidRPr="00000000">
              <w:rPr>
                <w:rtl w:val="0"/>
              </w:rPr>
            </w:r>
          </w:p>
          <w:p w:rsidR="00000000" w:rsidDel="00000000" w:rsidP="00000000" w:rsidRDefault="00000000" w:rsidRPr="00000000" w14:paraId="00000077">
            <w:pPr>
              <w:numPr>
                <w:ilvl w:val="4"/>
                <w:numId w:val="42"/>
              </w:numPr>
              <w:pBdr>
                <w:top w:space="0" w:sz="0" w:val="nil"/>
                <w:left w:space="0" w:sz="0" w:val="nil"/>
                <w:bottom w:space="0" w:sz="0" w:val="nil"/>
                <w:right w:space="0" w:sz="0" w:val="nil"/>
                <w:between w:space="0" w:sz="0" w:val="nil"/>
              </w:pBdr>
              <w:tabs>
                <w:tab w:val="left" w:leader="none" w:pos="1728"/>
                <w:tab w:val="left" w:leader="none" w:pos="3402"/>
                <w:tab w:val="left" w:leader="none" w:pos="1488"/>
              </w:tabs>
              <w:spacing w:after="120" w:before="120" w:lineRule="auto"/>
              <w:ind w:left="1728"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employ</w:t>
            </w:r>
            <w:r w:rsidDel="00000000" w:rsidR="00000000" w:rsidRPr="00000000">
              <w:rPr>
                <w:rFonts w:ascii="Arial" w:cs="Arial" w:eastAsia="Arial" w:hAnsi="Arial"/>
                <w:sz w:val="24"/>
                <w:szCs w:val="24"/>
                <w:rtl w:val="0"/>
              </w:rPr>
              <w:t xml:space="preserve">er’s National Insurance contributions;</w:t>
            </w:r>
          </w:p>
          <w:p w:rsidR="00000000" w:rsidDel="00000000" w:rsidP="00000000" w:rsidRDefault="00000000" w:rsidRPr="00000000" w14:paraId="00000078">
            <w:pPr>
              <w:numPr>
                <w:ilvl w:val="4"/>
                <w:numId w:val="42"/>
              </w:numPr>
              <w:pBdr>
                <w:top w:space="0" w:sz="0" w:val="nil"/>
                <w:left w:space="0" w:sz="0" w:val="nil"/>
                <w:bottom w:space="0" w:sz="0" w:val="nil"/>
                <w:right w:space="0" w:sz="0" w:val="nil"/>
                <w:between w:space="0" w:sz="0" w:val="nil"/>
              </w:pBdr>
              <w:tabs>
                <w:tab w:val="left" w:leader="none" w:pos="1728"/>
                <w:tab w:val="left" w:leader="none" w:pos="3402"/>
                <w:tab w:val="left" w:leader="none" w:pos="1488"/>
              </w:tabs>
              <w:spacing w:after="120" w:before="120" w:lineRule="auto"/>
              <w:ind w:left="1728"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79">
            <w:pPr>
              <w:numPr>
                <w:ilvl w:val="4"/>
                <w:numId w:val="42"/>
              </w:numPr>
              <w:pBdr>
                <w:top w:space="0" w:sz="0" w:val="nil"/>
                <w:left w:space="0" w:sz="0" w:val="nil"/>
                <w:bottom w:space="0" w:sz="0" w:val="nil"/>
                <w:right w:space="0" w:sz="0" w:val="nil"/>
                <w:between w:space="0" w:sz="0" w:val="nil"/>
              </w:pBdr>
              <w:tabs>
                <w:tab w:val="left" w:leader="none" w:pos="1728"/>
                <w:tab w:val="left" w:leader="none" w:pos="3402"/>
                <w:tab w:val="left" w:leader="none" w:pos="1488"/>
              </w:tabs>
              <w:spacing w:after="120" w:before="120" w:lineRule="auto"/>
              <w:ind w:left="1728"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7A">
            <w:pPr>
              <w:numPr>
                <w:ilvl w:val="4"/>
                <w:numId w:val="42"/>
              </w:numPr>
              <w:pBdr>
                <w:top w:space="0" w:sz="0" w:val="nil"/>
                <w:left w:space="0" w:sz="0" w:val="nil"/>
                <w:bottom w:space="0" w:sz="0" w:val="nil"/>
                <w:right w:space="0" w:sz="0" w:val="nil"/>
                <w:between w:space="0" w:sz="0" w:val="nil"/>
              </w:pBdr>
              <w:tabs>
                <w:tab w:val="left" w:leader="none" w:pos="1728"/>
                <w:tab w:val="left" w:leader="none" w:pos="3402"/>
                <w:tab w:val="left" w:leader="none" w:pos="1488"/>
              </w:tabs>
              <w:spacing w:after="120" w:before="120" w:lineRule="auto"/>
              <w:ind w:left="1728"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7B">
            <w:pPr>
              <w:numPr>
                <w:ilvl w:val="4"/>
                <w:numId w:val="42"/>
              </w:numPr>
              <w:pBdr>
                <w:top w:space="0" w:sz="0" w:val="nil"/>
                <w:left w:space="0" w:sz="0" w:val="nil"/>
                <w:bottom w:space="0" w:sz="0" w:val="nil"/>
                <w:right w:space="0" w:sz="0" w:val="nil"/>
                <w:between w:space="0" w:sz="0" w:val="nil"/>
              </w:pBdr>
              <w:tabs>
                <w:tab w:val="left" w:leader="none" w:pos="1728"/>
                <w:tab w:val="left" w:leader="none" w:pos="3402"/>
                <w:tab w:val="left" w:leader="none" w:pos="1488"/>
              </w:tabs>
              <w:spacing w:after="120" w:before="120" w:lineRule="auto"/>
              <w:ind w:left="1728"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7C">
            <w:pPr>
              <w:numPr>
                <w:ilvl w:val="4"/>
                <w:numId w:val="42"/>
              </w:numPr>
              <w:pBdr>
                <w:top w:space="0" w:sz="0" w:val="nil"/>
                <w:left w:space="0" w:sz="0" w:val="nil"/>
                <w:bottom w:space="0" w:sz="0" w:val="nil"/>
                <w:right w:space="0" w:sz="0" w:val="nil"/>
                <w:between w:space="0" w:sz="0" w:val="nil"/>
              </w:pBdr>
              <w:tabs>
                <w:tab w:val="left" w:leader="none" w:pos="1728"/>
                <w:tab w:val="left" w:leader="none" w:pos="3402"/>
                <w:tab w:val="left" w:leader="none" w:pos="1488"/>
              </w:tabs>
              <w:spacing w:after="120" w:before="120" w:lineRule="auto"/>
              <w:ind w:left="1728"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7D">
            <w:pPr>
              <w:numPr>
                <w:ilvl w:val="4"/>
                <w:numId w:val="42"/>
              </w:numPr>
              <w:pBdr>
                <w:top w:space="0" w:sz="0" w:val="nil"/>
                <w:left w:space="0" w:sz="0" w:val="nil"/>
                <w:bottom w:space="0" w:sz="0" w:val="nil"/>
                <w:right w:space="0" w:sz="0" w:val="nil"/>
                <w:between w:space="0" w:sz="0" w:val="nil"/>
              </w:pBdr>
              <w:tabs>
                <w:tab w:val="left" w:leader="none" w:pos="1728"/>
                <w:tab w:val="left" w:leader="none" w:pos="3402"/>
                <w:tab w:val="left" w:leader="none" w:pos="1488"/>
              </w:tabs>
              <w:spacing w:after="120" w:before="120" w:lineRule="auto"/>
              <w:ind w:left="1728"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7E">
            <w:pPr>
              <w:numPr>
                <w:ilvl w:val="4"/>
                <w:numId w:val="42"/>
              </w:numPr>
              <w:pBdr>
                <w:top w:space="0" w:sz="0" w:val="nil"/>
                <w:left w:space="0" w:sz="0" w:val="nil"/>
                <w:bottom w:space="0" w:sz="0" w:val="nil"/>
                <w:right w:space="0" w:sz="0" w:val="nil"/>
                <w:between w:space="0" w:sz="0" w:val="nil"/>
              </w:pBdr>
              <w:tabs>
                <w:tab w:val="left" w:leader="none" w:pos="1728"/>
                <w:tab w:val="left" w:leader="none" w:pos="3402"/>
                <w:tab w:val="left" w:leader="none" w:pos="1488"/>
              </w:tabs>
              <w:spacing w:after="120" w:before="120" w:lineRule="auto"/>
              <w:ind w:left="1728"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7F">
            <w:pPr>
              <w:numPr>
                <w:ilvl w:val="0"/>
                <w:numId w:val="21"/>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bookmarkStart w:colFirst="0" w:colLast="0" w:name="_heading=h.17dp8vu" w:id="2"/>
            <w:bookmarkEnd w:id="2"/>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80">
            <w:pPr>
              <w:numPr>
                <w:ilvl w:val="0"/>
                <w:numId w:val="21"/>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81">
            <w:pPr>
              <w:numPr>
                <w:ilvl w:val="0"/>
                <w:numId w:val="21"/>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Award Form and are incurred in delivering any Deliverables;</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w:t>
            </w:r>
          </w:p>
          <w:p w:rsidR="00000000" w:rsidDel="00000000" w:rsidP="00000000" w:rsidRDefault="00000000" w:rsidRPr="00000000" w14:paraId="00000083">
            <w:pPr>
              <w:numPr>
                <w:ilvl w:val="0"/>
                <w:numId w:val="1"/>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84">
            <w:pPr>
              <w:numPr>
                <w:ilvl w:val="0"/>
                <w:numId w:val="1"/>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85">
            <w:pPr>
              <w:numPr>
                <w:ilvl w:val="0"/>
                <w:numId w:val="1"/>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Contract Period whether in relation to Supplier Assets or otherwise;</w:t>
            </w:r>
          </w:p>
          <w:p w:rsidR="00000000" w:rsidDel="00000000" w:rsidP="00000000" w:rsidRDefault="00000000" w:rsidRPr="00000000" w14:paraId="00000086">
            <w:pPr>
              <w:numPr>
                <w:ilvl w:val="0"/>
                <w:numId w:val="1"/>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87">
            <w:pPr>
              <w:numPr>
                <w:ilvl w:val="0"/>
                <w:numId w:val="1"/>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88">
            <w:pPr>
              <w:numPr>
                <w:ilvl w:val="0"/>
                <w:numId w:val="1"/>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Schedule 12 (Benchmarking) where such Schedule is used; and</w:t>
            </w:r>
          </w:p>
          <w:p w:rsidR="00000000" w:rsidDel="00000000" w:rsidP="00000000" w:rsidRDefault="00000000" w:rsidRPr="00000000" w14:paraId="00000089">
            <w:pPr>
              <w:numPr>
                <w:ilvl w:val="0"/>
                <w:numId w:val="1"/>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"COTS Software" or  "Commercial off the shelf Software"</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w:t>
            </w:r>
            <w:r w:rsidDel="00000000" w:rsidR="00000000" w:rsidRPr="00000000">
              <w:rPr>
                <w:rFonts w:ascii="Arial" w:cs="Arial" w:eastAsia="Arial" w:hAnsi="Arial"/>
                <w:sz w:val="24"/>
                <w:szCs w:val="24"/>
                <w:rtl w:val="0"/>
              </w:rPr>
              <w:t xml:space="preserve">Annex A to Part A of Schedule 10</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"Crown Body"</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Welsh Government), including government ministers and government departments and particular bodies, persons, commissions or agencies from time to time carrying out functions on its behalf;</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"Crown IPR"</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IPR which is owned by or licensed to the Crown, and which are or have been developed independently of this Contract (whether prior to the Effective Date or otherwise);</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Loss Event"</w:t>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MT" w:cs="ArialMT" w:eastAsia="ArialMT" w:hAnsi="ArialMT"/>
                <w:sz w:val="24"/>
                <w:szCs w:val="24"/>
                <w:rtl w:val="0"/>
              </w:rPr>
              <w:t xml:space="preserve">any event that results, or may result, in unauthorised access to Personal</w:t>
            </w:r>
            <w:r w:rsidDel="00000000" w:rsidR="00000000" w:rsidRPr="00000000">
              <w:rPr>
                <w:rFonts w:ascii="Arial" w:cs="Arial" w:eastAsia="Arial" w:hAnsi="Arial"/>
                <w:color w:val="000000"/>
                <w:sz w:val="24"/>
                <w:szCs w:val="24"/>
                <w:rtl w:val="0"/>
              </w:rPr>
              <w:t xml:space="preserve"> </w:t>
            </w:r>
            <w:r w:rsidDel="00000000" w:rsidR="00000000" w:rsidRPr="00000000">
              <w:rPr>
                <w:rFonts w:ascii="ArialMT" w:cs="ArialMT" w:eastAsia="ArialMT" w:hAnsi="ArialMT"/>
                <w:sz w:val="24"/>
                <w:szCs w:val="24"/>
                <w:rtl w:val="0"/>
              </w:rPr>
              <w:t xml:space="preserve">Data held by th</w:t>
            </w:r>
            <w:r w:rsidDel="00000000" w:rsidR="00000000" w:rsidRPr="00000000">
              <w:rPr>
                <w:rFonts w:ascii="Arial" w:cs="Arial" w:eastAsia="Arial" w:hAnsi="Arial"/>
                <w:color w:val="000000"/>
                <w:sz w:val="24"/>
                <w:szCs w:val="24"/>
                <w:rtl w:val="0"/>
              </w:rPr>
              <w:t xml:space="preserve">e Processor under this Contract</w:t>
            </w:r>
            <w:r w:rsidDel="00000000" w:rsidR="00000000" w:rsidRPr="00000000">
              <w:rPr>
                <w:rFonts w:ascii="ArialMT" w:cs="ArialMT" w:eastAsia="ArialMT" w:hAnsi="ArialMT"/>
                <w:sz w:val="24"/>
                <w:szCs w:val="24"/>
                <w:rtl w:val="0"/>
              </w:rPr>
              <w:t xml:space="preserve">, and/or actual or potential loss and/or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MT" w:cs="ArialMT" w:eastAsia="ArialMT" w:hAnsi="ArialMT"/>
                <w:sz w:val="24"/>
                <w:szCs w:val="24"/>
                <w:rtl w:val="0"/>
              </w:rPr>
              <w:t xml:space="preserve">destruction of Personal Data in breach of this Agreement, including any Personal Data</w:t>
            </w:r>
            <w:r w:rsidDel="00000000" w:rsidR="00000000" w:rsidRPr="00000000">
              <w:rPr>
                <w:rFonts w:ascii="Arial" w:cs="Arial" w:eastAsia="Arial" w:hAnsi="Arial"/>
                <w:color w:val="000000"/>
                <w:sz w:val="24"/>
                <w:szCs w:val="24"/>
                <w:rtl w:val="0"/>
              </w:rPr>
              <w:t xml:space="preserve"> </w:t>
            </w:r>
            <w:r w:rsidDel="00000000" w:rsidR="00000000" w:rsidRPr="00000000">
              <w:rPr>
                <w:rFonts w:ascii="ArialMT" w:cs="ArialMT" w:eastAsia="ArialMT" w:hAnsi="ArialMT"/>
                <w:sz w:val="24"/>
                <w:szCs w:val="24"/>
                <w:rtl w:val="0"/>
              </w:rPr>
              <w:t xml:space="preserve">Breach.</w:t>
            </w:r>
            <w:r w:rsidDel="00000000" w:rsidR="00000000" w:rsidRPr="00000000">
              <w:rPr>
                <w:rtl w:val="0"/>
              </w:rPr>
            </w:r>
          </w:p>
        </w:tc>
      </w:tr>
      <w:tr>
        <w:trPr>
          <w:cantSplit w:val="0"/>
          <w:tblHeader w:val="0"/>
        </w:trPr>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(ii) the DPA 2018 to the extent that it relates to processing of personal data and privacy; (iii) all applicable Law about the processing of personal data and privacy; and (iv) (to the extent that it applies) the EU GDPR; </w:t>
            </w:r>
          </w:p>
        </w:tc>
      </w:tr>
      <w:tr>
        <w:trPr>
          <w:cantSplit w:val="0"/>
          <w:tblHeader w:val="0"/>
        </w:trPr>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Award Form;</w:t>
            </w:r>
          </w:p>
        </w:tc>
      </w:tr>
      <w:tr>
        <w:trPr>
          <w:cantSplit w:val="0"/>
          <w:tblHeader w:val="0"/>
        </w:trPr>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this Contract;</w:t>
            </w:r>
          </w:p>
        </w:tc>
      </w:tr>
      <w:tr>
        <w:trPr>
          <w:cantSplit w:val="0"/>
          <w:tblHeader w:val="0"/>
        </w:trPr>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this Contract in breach of its terms) or any other default (including Material Default), act, omission, negligence or statement of the Supplier, of its Subcontractors or any Supplier Staff howsoever arising in connection with or in relation to the subject-matter of this Contract and in respect of which the Supplier is liable to the Buyer;</w:t>
            </w:r>
          </w:p>
        </w:tc>
      </w:tr>
      <w:tr>
        <w:trPr>
          <w:cantSplit w:val="0"/>
          <w:tblHeader w:val="0"/>
        </w:trPr>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"Defect"</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9"/>
              </w:tabs>
              <w:spacing w:after="120" w:before="120" w:lineRule="auto"/>
              <w:ind w:left="96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A8">
            <w:pPr>
              <w:numPr>
                <w:ilvl w:val="0"/>
                <w:numId w:val="45"/>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error, damage or defect in the manufacturing of a Deliverable; or </w:t>
            </w:r>
          </w:p>
          <w:p w:rsidR="00000000" w:rsidDel="00000000" w:rsidP="00000000" w:rsidRDefault="00000000" w:rsidRPr="00000000" w14:paraId="000000A9">
            <w:pPr>
              <w:keepNext w:val="0"/>
              <w:keepLines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9"/>
              </w:tabs>
              <w:spacing w:after="120" w:before="120" w:line="276" w:lineRule="auto"/>
              <w:ind w:left="964" w:right="0" w:hanging="7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 </w:t>
            </w:r>
          </w:p>
          <w:p w:rsidR="00000000" w:rsidDel="00000000" w:rsidP="00000000" w:rsidRDefault="00000000" w:rsidRPr="00000000" w14:paraId="000000AA">
            <w:pPr>
              <w:keepNext w:val="0"/>
              <w:keepLines w:val="0"/>
              <w:widowControl w:val="1"/>
              <w:numPr>
                <w:ilvl w:val="0"/>
                <w:numId w:val="45"/>
              </w:numPr>
              <w:pBdr>
                <w:top w:space="0" w:sz="0" w:val="nil"/>
                <w:left w:space="0" w:sz="0" w:val="nil"/>
                <w:bottom w:space="0" w:sz="0" w:val="nil"/>
                <w:right w:space="0" w:sz="0" w:val="nil"/>
                <w:between w:space="0" w:sz="0" w:val="nil"/>
              </w:pBdr>
              <w:shd w:fill="auto" w:val="clear"/>
              <w:tabs>
                <w:tab w:val="left" w:leader="none" w:pos="-9"/>
              </w:tabs>
              <w:spacing w:after="120" w:before="120" w:line="276" w:lineRule="auto"/>
              <w:ind w:left="964" w:right="0" w:hanging="7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 or</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AC">
            <w:pPr>
              <w:numPr>
                <w:ilvl w:val="0"/>
                <w:numId w:val="45"/>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Services or software that may be ordered and/or developed under this Contract including the Documentation; </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this Contract as confirmed and accepted by the Buyer by the either (a) confirmation in writing to the Supplier; or (b) where Schedule 8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"Dependent Parent Undertaking"</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 </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19 (What you must keep confidential);</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before="120" w:lineRule="auto"/>
              <w:ind w:left="57"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this Contract or in connection with the negotiation, existence, legal validity, enforceability or termination of this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39 (Resolving disputes);</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this Contract as:</w:t>
            </w:r>
          </w:p>
          <w:p w:rsidR="00000000" w:rsidDel="00000000" w:rsidP="00000000" w:rsidRDefault="00000000" w:rsidRPr="00000000" w14:paraId="000000BF">
            <w:pPr>
              <w:numPr>
                <w:ilvl w:val="0"/>
                <w:numId w:val="7"/>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0">
            <w:pPr>
              <w:numPr>
                <w:ilvl w:val="0"/>
                <w:numId w:val="7"/>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1">
            <w:pPr>
              <w:numPr>
                <w:ilvl w:val="0"/>
                <w:numId w:val="7"/>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Buyer prior to the Effective Date;</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this Contract;</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firstLine="14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0">
            <w:pPr>
              <w:numPr>
                <w:ilvl w:val="0"/>
                <w:numId w:val="40"/>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the Buyer under Clause 14.2; or</w:t>
            </w:r>
          </w:p>
          <w:p w:rsidR="00000000" w:rsidDel="00000000" w:rsidP="00000000" w:rsidRDefault="00000000" w:rsidRPr="00000000" w14:paraId="000000D1">
            <w:pPr>
              <w:numPr>
                <w:ilvl w:val="0"/>
                <w:numId w:val="40"/>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this Contract is terminated before the date specified in (a) above, the date of termination of this Contract;</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User"</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party that is accessing the Deliverables provided pursuant to this Contract (including the Buyer where it is accessing services on its own account as a user);</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"Escalation Meeting"</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meeting between the Supplier Authorised Representative and the Buyer Authorised Representative to address issues that have arisen during the Rectification Plan Process;  </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Award Form;</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15.1:</w:t>
            </w:r>
          </w:p>
          <w:p w:rsidR="00000000" w:rsidDel="00000000" w:rsidP="00000000" w:rsidRDefault="00000000" w:rsidRPr="00000000" w14:paraId="000000DE">
            <w:pPr>
              <w:numPr>
                <w:ilvl w:val="0"/>
                <w:numId w:val="2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first Contract Year, the Estimated Year 1 Charges; or </w:t>
            </w:r>
          </w:p>
          <w:p w:rsidR="00000000" w:rsidDel="00000000" w:rsidP="00000000" w:rsidRDefault="00000000" w:rsidRPr="00000000" w14:paraId="000000DF">
            <w:pPr>
              <w:numPr>
                <w:ilvl w:val="0"/>
                <w:numId w:val="2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subsequent Contract Years, the Charges paid or payable in the previous Contract Year; or</w:t>
            </w:r>
          </w:p>
          <w:p w:rsidR="00000000" w:rsidDel="00000000" w:rsidP="00000000" w:rsidRDefault="00000000" w:rsidRPr="00000000" w14:paraId="000000E0">
            <w:pPr>
              <w:numPr>
                <w:ilvl w:val="0"/>
                <w:numId w:val="26"/>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after the end of this Contract, the Charges paid or payable in the last Contract Year during the Contract Period;  </w:t>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"EU GDPR"</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this Contract (whether prior to the Start Date or otherwise);</w:t>
            </w:r>
          </w:p>
        </w:tc>
      </w:tr>
      <w:tr>
        <w:trPr>
          <w:cantSplit w:val="0"/>
          <w:tblHeader w:val="0"/>
        </w:trPr>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4.1 of Schedule 30 (Exit Plan);</w:t>
            </w:r>
          </w:p>
        </w:tc>
      </w:tr>
      <w:tr>
        <w:trPr>
          <w:cantSplit w:val="0"/>
          <w:tblHeader w:val="0"/>
        </w:trPr>
        <w:tc>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left="14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the end of this Contract as stated in the Award Form; </w:t>
            </w:r>
          </w:p>
        </w:tc>
      </w:tr>
      <w:tr>
        <w:trPr>
          <w:cantSplit w:val="0"/>
          <w:tblHeader w:val="0"/>
        </w:trPr>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left="14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Initial Period may be extended, specified in the Award Form;</w:t>
            </w:r>
          </w:p>
        </w:tc>
      </w:tr>
      <w:tr>
        <w:trPr>
          <w:cantSplit w:val="0"/>
          <w:tblHeader w:val="0"/>
        </w:trPr>
        <w:tc>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"FDE Group"</w:t>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left="14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any Additional FDE Group Member;</w:t>
            </w:r>
          </w:p>
        </w:tc>
      </w:tr>
      <w:tr>
        <w:trPr>
          <w:cantSplit w:val="0"/>
          <w:tblHeader w:val="0"/>
        </w:trPr>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169"/>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occurrence of one or more the following events:</w:t>
            </w:r>
          </w:p>
          <w:p w:rsidR="00000000" w:rsidDel="00000000" w:rsidP="00000000" w:rsidRDefault="00000000" w:rsidRPr="00000000" w14:paraId="000000EF">
            <w:pPr>
              <w:numPr>
                <w:ilvl w:val="0"/>
                <w:numId w:val="28"/>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any FDE Group entity drops below the applicable Credit Rating Threshold of the relevant Rating Agency;</w:t>
            </w:r>
          </w:p>
          <w:p w:rsidR="00000000" w:rsidDel="00000000" w:rsidP="00000000" w:rsidRDefault="00000000" w:rsidRPr="00000000" w14:paraId="000000F0">
            <w:pPr>
              <w:numPr>
                <w:ilvl w:val="0"/>
                <w:numId w:val="28"/>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FDE Group entity issues a profits warning to a stock exchange or makes any other public announcement, in each case about a material deterioration in its financial position or prospects;</w:t>
            </w:r>
          </w:p>
          <w:p w:rsidR="00000000" w:rsidDel="00000000" w:rsidP="00000000" w:rsidRDefault="00000000" w:rsidRPr="00000000" w14:paraId="000000F1">
            <w:pPr>
              <w:numPr>
                <w:ilvl w:val="0"/>
                <w:numId w:val="28"/>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any FDE Group entity;</w:t>
            </w:r>
          </w:p>
          <w:p w:rsidR="00000000" w:rsidDel="00000000" w:rsidP="00000000" w:rsidRDefault="00000000" w:rsidRPr="00000000" w14:paraId="000000F2">
            <w:pPr>
              <w:numPr>
                <w:ilvl w:val="0"/>
                <w:numId w:val="28"/>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FDE Group entity commits a material breach of covenant to its lenders;</w:t>
            </w:r>
          </w:p>
          <w:p w:rsidR="00000000" w:rsidDel="00000000" w:rsidP="00000000" w:rsidRDefault="00000000" w:rsidRPr="00000000" w14:paraId="000000F3">
            <w:pPr>
              <w:numPr>
                <w:ilvl w:val="0"/>
                <w:numId w:val="28"/>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notifies the Buyer that the Supplier has not paid any material sums properly due under a specified invoice and not subject to a genuine dispute; </w:t>
            </w:r>
          </w:p>
          <w:p w:rsidR="00000000" w:rsidDel="00000000" w:rsidP="00000000" w:rsidRDefault="00000000" w:rsidRPr="00000000" w14:paraId="000000F4">
            <w:pPr>
              <w:numPr>
                <w:ilvl w:val="0"/>
                <w:numId w:val="28"/>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FDE Group entity extends the filing period for filing its accounts with the Registrar of Companies so that the filing period ends more than nine (9) months after its accounting reference date without an explanation to the Buyer which the Buyer (acting reasonably) considers to be adequate;</w:t>
            </w:r>
          </w:p>
          <w:p w:rsidR="00000000" w:rsidDel="00000000" w:rsidP="00000000" w:rsidRDefault="00000000" w:rsidRPr="00000000" w14:paraId="000000F5">
            <w:pPr>
              <w:numPr>
                <w:ilvl w:val="0"/>
                <w:numId w:val="28"/>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FDE Group entity is late to file its annual accounts without a public notification or an explanation to the Buyer which the Buyer (acting reasonably) considers to be adequate;</w:t>
            </w:r>
          </w:p>
          <w:p w:rsidR="00000000" w:rsidDel="00000000" w:rsidP="00000000" w:rsidRDefault="00000000" w:rsidRPr="00000000" w14:paraId="000000F6">
            <w:pPr>
              <w:numPr>
                <w:ilvl w:val="0"/>
                <w:numId w:val="28"/>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directors and/or external auditors of any FDE Group entity conclude that a material uncertainty exists in relation to that FDE Group entity’s going concern in the annual report</w:t>
            </w: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color w:val="000000"/>
                <w:sz w:val="24"/>
                <w:szCs w:val="24"/>
                <w:rtl w:val="0"/>
              </w:rPr>
              <w:t xml:space="preserve">including in a reasonable but plausible downside scenario. This includes, but is not limited to, commentary about liquidity and trading prospects in the reports from directors or external auditors;</w:t>
            </w:r>
          </w:p>
          <w:p w:rsidR="00000000" w:rsidDel="00000000" w:rsidP="00000000" w:rsidRDefault="00000000" w:rsidRPr="00000000" w14:paraId="000000F7">
            <w:pPr>
              <w:numPr>
                <w:ilvl w:val="0"/>
                <w:numId w:val="28"/>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 </w:t>
            </w:r>
          </w:p>
          <w:p w:rsidR="00000000" w:rsidDel="00000000" w:rsidP="00000000" w:rsidRDefault="00000000" w:rsidRPr="00000000" w14:paraId="000000F8">
            <w:pPr>
              <w:numPr>
                <w:ilvl w:val="4"/>
                <w:numId w:val="9"/>
              </w:numPr>
              <w:pBdr>
                <w:top w:space="0" w:sz="0" w:val="nil"/>
                <w:left w:space="0" w:sz="0" w:val="nil"/>
                <w:bottom w:space="0" w:sz="0" w:val="nil"/>
                <w:right w:space="0" w:sz="0" w:val="nil"/>
                <w:between w:space="0" w:sz="0" w:val="nil"/>
              </w:pBdr>
              <w:tabs>
                <w:tab w:val="left" w:leader="none" w:pos="1728"/>
                <w:tab w:val="left" w:leader="none" w:pos="2012"/>
                <w:tab w:val="left" w:leader="none" w:pos="3402"/>
                <w:tab w:val="left" w:leader="none" w:pos="1488"/>
              </w:tabs>
              <w:spacing w:after="120" w:before="120" w:lineRule="auto"/>
              <w:ind w:left="1728" w:hanging="69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FDE Group entity makes a public announcement which contains commentary with regards to that FDE Group entity’s liquidity and trading and trading prospects, such as but not limited to, a profit warning or ability to trade as a going concern;</w:t>
            </w:r>
          </w:p>
          <w:p w:rsidR="00000000" w:rsidDel="00000000" w:rsidP="00000000" w:rsidRDefault="00000000" w:rsidRPr="00000000" w14:paraId="000000F9">
            <w:pPr>
              <w:numPr>
                <w:ilvl w:val="4"/>
                <w:numId w:val="9"/>
              </w:numPr>
              <w:pBdr>
                <w:top w:space="0" w:sz="0" w:val="nil"/>
                <w:left w:space="0" w:sz="0" w:val="nil"/>
                <w:bottom w:space="0" w:sz="0" w:val="nil"/>
                <w:right w:space="0" w:sz="0" w:val="nil"/>
                <w:between w:space="0" w:sz="0" w:val="nil"/>
              </w:pBdr>
              <w:tabs>
                <w:tab w:val="left" w:leader="none" w:pos="1728"/>
                <w:tab w:val="left" w:leader="none" w:pos="2012"/>
                <w:tab w:val="left" w:leader="none" w:pos="3402"/>
                <w:tab w:val="left" w:leader="none" w:pos="1488"/>
              </w:tabs>
              <w:spacing w:after="120" w:before="120" w:lineRule="auto"/>
              <w:ind w:left="1728" w:hanging="69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any FDE Group entity with respect to financial indebtedness greater than £5m or obligations under a service contract with a total contract value greater than £5m; </w:t>
            </w:r>
          </w:p>
          <w:p w:rsidR="00000000" w:rsidDel="00000000" w:rsidP="00000000" w:rsidRDefault="00000000" w:rsidRPr="00000000" w14:paraId="000000FA">
            <w:pPr>
              <w:numPr>
                <w:ilvl w:val="4"/>
                <w:numId w:val="9"/>
              </w:numPr>
              <w:pBdr>
                <w:top w:space="0" w:sz="0" w:val="nil"/>
                <w:left w:space="0" w:sz="0" w:val="nil"/>
                <w:bottom w:space="0" w:sz="0" w:val="nil"/>
                <w:right w:space="0" w:sz="0" w:val="nil"/>
                <w:between w:space="0" w:sz="0" w:val="nil"/>
              </w:pBdr>
              <w:tabs>
                <w:tab w:val="left" w:leader="none" w:pos="1728"/>
                <w:tab w:val="left" w:leader="none" w:pos="2012"/>
                <w:tab w:val="left" w:leader="none" w:pos="3402"/>
                <w:tab w:val="left" w:leader="none" w:pos="1488"/>
              </w:tabs>
              <w:spacing w:after="120" w:before="120" w:lineRule="auto"/>
              <w:ind w:left="1728" w:hanging="69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any FDE Group entity of any financial indebtedness; </w:t>
            </w:r>
          </w:p>
          <w:p w:rsidR="00000000" w:rsidDel="00000000" w:rsidP="00000000" w:rsidRDefault="00000000" w:rsidRPr="00000000" w14:paraId="000000FB">
            <w:pPr>
              <w:numPr>
                <w:ilvl w:val="4"/>
                <w:numId w:val="9"/>
              </w:numPr>
              <w:pBdr>
                <w:top w:space="0" w:sz="0" w:val="nil"/>
                <w:left w:space="0" w:sz="0" w:val="nil"/>
                <w:bottom w:space="0" w:sz="0" w:val="nil"/>
                <w:right w:space="0" w:sz="0" w:val="nil"/>
                <w:between w:space="0" w:sz="0" w:val="nil"/>
              </w:pBdr>
              <w:tabs>
                <w:tab w:val="left" w:leader="none" w:pos="1728"/>
                <w:tab w:val="left" w:leader="none" w:pos="2012"/>
                <w:tab w:val="left" w:leader="none" w:pos="3402"/>
                <w:tab w:val="left" w:leader="none" w:pos="1488"/>
              </w:tabs>
              <w:spacing w:after="120" w:before="120" w:lineRule="auto"/>
              <w:ind w:left="1728" w:hanging="69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any FDE Group entity becoming due as a result of an event of default; </w:t>
            </w:r>
          </w:p>
          <w:p w:rsidR="00000000" w:rsidDel="00000000" w:rsidP="00000000" w:rsidRDefault="00000000" w:rsidRPr="00000000" w14:paraId="000000FC">
            <w:pPr>
              <w:numPr>
                <w:ilvl w:val="4"/>
                <w:numId w:val="9"/>
              </w:numPr>
              <w:pBdr>
                <w:top w:space="0" w:sz="0" w:val="nil"/>
                <w:left w:space="0" w:sz="0" w:val="nil"/>
                <w:bottom w:space="0" w:sz="0" w:val="nil"/>
                <w:right w:space="0" w:sz="0" w:val="nil"/>
                <w:between w:space="0" w:sz="0" w:val="nil"/>
              </w:pBdr>
              <w:tabs>
                <w:tab w:val="left" w:leader="none" w:pos="1728"/>
                <w:tab w:val="left" w:leader="none" w:pos="2012"/>
                <w:tab w:val="left" w:leader="none" w:pos="3402"/>
                <w:tab w:val="left" w:leader="none" w:pos="1488"/>
              </w:tabs>
              <w:spacing w:after="120" w:before="120" w:lineRule="auto"/>
              <w:ind w:left="1728" w:hanging="69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any FDE Group entity; or </w:t>
            </w:r>
          </w:p>
          <w:p w:rsidR="00000000" w:rsidDel="00000000" w:rsidP="00000000" w:rsidRDefault="00000000" w:rsidRPr="00000000" w14:paraId="000000FD">
            <w:pPr>
              <w:numPr>
                <w:ilvl w:val="4"/>
                <w:numId w:val="9"/>
              </w:numPr>
              <w:pBdr>
                <w:top w:space="0" w:sz="0" w:val="nil"/>
                <w:left w:space="0" w:sz="0" w:val="nil"/>
                <w:bottom w:space="0" w:sz="0" w:val="nil"/>
                <w:right w:space="0" w:sz="0" w:val="nil"/>
                <w:between w:space="0" w:sz="0" w:val="nil"/>
              </w:pBdr>
              <w:tabs>
                <w:tab w:val="left" w:leader="none" w:pos="1728"/>
                <w:tab w:val="left" w:leader="none" w:pos="2012"/>
                <w:tab w:val="left" w:leader="none" w:pos="3402"/>
                <w:tab w:val="left" w:leader="none" w:pos="1488"/>
              </w:tabs>
              <w:spacing w:after="120" w:before="120" w:lineRule="auto"/>
              <w:ind w:left="1728" w:hanging="69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external auditor of any FDE Group entity expressing a qualified opinion on, or including an emphasis of matter in, its opinion on the statutory accounts of that FDE Group entity, </w:t>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9"/>
              </w:tabs>
              <w:spacing w:after="120" w:before="120" w:lineRule="auto"/>
              <w:ind w:left="103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Buyer reasonably believes (or would be likely reasonably to believe) could directly impact on the continued provision of the Deliverables in accordance with this Contract; or</w:t>
            </w:r>
          </w:p>
          <w:p w:rsidR="00000000" w:rsidDel="00000000" w:rsidP="00000000" w:rsidRDefault="00000000" w:rsidRPr="00000000" w14:paraId="000000FF">
            <w:pPr>
              <w:numPr>
                <w:ilvl w:val="0"/>
                <w:numId w:val="28"/>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Financial Indicators set out in Part C of Annex 2 of Schedule 24 for any of the FDE Group entities failing to meet the required Financial Target Threshold;</w:t>
            </w:r>
          </w:p>
        </w:tc>
      </w:tr>
      <w:tr>
        <w:trPr>
          <w:cantSplit w:val="0"/>
          <w:tblHeader w:val="0"/>
        </w:trPr>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Report"</w:t>
            </w:r>
          </w:p>
        </w:tc>
        <w:tc>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to the Buyer that:</w:t>
            </w:r>
          </w:p>
          <w:p w:rsidR="00000000" w:rsidDel="00000000" w:rsidP="00000000" w:rsidRDefault="00000000" w:rsidRPr="00000000" w14:paraId="00000102">
            <w:pPr>
              <w:numPr>
                <w:ilvl w:val="0"/>
                <w:numId w:val="37"/>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permitted by Law, provides a true and fair reflection of the Costs and Supplier Profit Margin forecast by the Supplier;</w:t>
            </w:r>
          </w:p>
          <w:p w:rsidR="00000000" w:rsidDel="00000000" w:rsidP="00000000" w:rsidRDefault="00000000" w:rsidRPr="00000000" w14:paraId="00000103">
            <w:pPr>
              <w:numPr>
                <w:ilvl w:val="0"/>
                <w:numId w:val="37"/>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permitted by Law, provides detail a true and fair reflection of the costs and expenses to be incurred by Key Subcontractors (as requested by the Buyer);</w:t>
            </w:r>
          </w:p>
          <w:p w:rsidR="00000000" w:rsidDel="00000000" w:rsidP="00000000" w:rsidRDefault="00000000" w:rsidRPr="00000000" w14:paraId="00000104">
            <w:pPr>
              <w:numPr>
                <w:ilvl w:val="0"/>
                <w:numId w:val="37"/>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in the same software package (Microsoft Excel or Microsoft Word), layout and format as the blank templates which have been issued by the Buyer to the Supplier on or before the Effective Date for the purposes of this Contract; and</w:t>
            </w:r>
          </w:p>
          <w:p w:rsidR="00000000" w:rsidDel="00000000" w:rsidP="00000000" w:rsidRDefault="00000000" w:rsidRPr="00000000" w14:paraId="00000105">
            <w:pPr>
              <w:numPr>
                <w:ilvl w:val="0"/>
                <w:numId w:val="37"/>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certified by the Supplier's Chief Financial Officer or Director of Finance; </w:t>
            </w:r>
          </w:p>
        </w:tc>
      </w:tr>
      <w:tr>
        <w:trPr>
          <w:cantSplit w:val="0"/>
          <w:tblHeader w:val="0"/>
        </w:trPr>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Transparency Objectives"</w:t>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w:t>
            </w:r>
          </w:p>
          <w:p w:rsidR="00000000" w:rsidDel="00000000" w:rsidP="00000000" w:rsidRDefault="00000000" w:rsidRPr="00000000" w14:paraId="00000108">
            <w:pPr>
              <w:numPr>
                <w:ilvl w:val="0"/>
                <w:numId w:val="2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having a clear analysis of the Costs, Overhead recoveries (where relevant), time spent by Supplier Staff in providing the Services and the Supplier Profit Margin so that it can understand any payment sought by the Supplier;</w:t>
            </w:r>
          </w:p>
          <w:p w:rsidR="00000000" w:rsidDel="00000000" w:rsidP="00000000" w:rsidRDefault="00000000" w:rsidRPr="00000000" w14:paraId="00000109">
            <w:pPr>
              <w:numPr>
                <w:ilvl w:val="0"/>
                <w:numId w:val="2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being able to understand Cost forecasts and to have confidence that these are based on justifiable numbers and appropriate forecasting techniques;</w:t>
            </w:r>
          </w:p>
          <w:p w:rsidR="00000000" w:rsidDel="00000000" w:rsidP="00000000" w:rsidRDefault="00000000" w:rsidRPr="00000000" w14:paraId="0000010A">
            <w:pPr>
              <w:numPr>
                <w:ilvl w:val="0"/>
                <w:numId w:val="2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being able to understand the quantitative impact of any Variations that affect ongoing Costs and identifying how these could be mitigated and/or reflected in the Charges;</w:t>
            </w:r>
          </w:p>
          <w:p w:rsidR="00000000" w:rsidDel="00000000" w:rsidP="00000000" w:rsidRDefault="00000000" w:rsidRPr="00000000" w14:paraId="0000010B">
            <w:pPr>
              <w:numPr>
                <w:ilvl w:val="0"/>
                <w:numId w:val="2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being able to review, address issues with and re-forecast progress in relation to the provision of the Services;</w:t>
            </w:r>
          </w:p>
          <w:p w:rsidR="00000000" w:rsidDel="00000000" w:rsidP="00000000" w:rsidRDefault="00000000" w:rsidRPr="00000000" w14:paraId="0000010C">
            <w:pPr>
              <w:numPr>
                <w:ilvl w:val="0"/>
                <w:numId w:val="2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challenging each other with ideas for efficiency and improvements; and</w:t>
            </w:r>
          </w:p>
          <w:p w:rsidR="00000000" w:rsidDel="00000000" w:rsidP="00000000" w:rsidRDefault="00000000" w:rsidRPr="00000000" w14:paraId="0000010D">
            <w:pPr>
              <w:numPr>
                <w:ilvl w:val="0"/>
                <w:numId w:val="2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enabling the Buyer to demonstrate that it is achieving value for money for the tax payer relative to current market prices;</w:t>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circumstance, matter or cause affecting the performance by either the Buyer or the Supplier of its obligations arising from:</w:t>
            </w:r>
          </w:p>
          <w:p w:rsidR="00000000" w:rsidDel="00000000" w:rsidP="00000000" w:rsidRDefault="00000000" w:rsidRPr="00000000" w14:paraId="00000112">
            <w:pPr>
              <w:numPr>
                <w:ilvl w:val="0"/>
                <w:numId w:val="23"/>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events, omissions, happenings or non-happenings beyond the reasonable control of the Affected Party which prevent or materially delay the Affected Party from performing its obligations under a Contract;</w:t>
            </w:r>
          </w:p>
          <w:p w:rsidR="00000000" w:rsidDel="00000000" w:rsidP="00000000" w:rsidRDefault="00000000" w:rsidRPr="00000000" w14:paraId="00000113">
            <w:pPr>
              <w:numPr>
                <w:ilvl w:val="0"/>
                <w:numId w:val="23"/>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 acts of terrorism, nuclear, biological or chemical warfare;</w:t>
            </w:r>
          </w:p>
          <w:p w:rsidR="00000000" w:rsidDel="00000000" w:rsidP="00000000" w:rsidRDefault="00000000" w:rsidRPr="00000000" w14:paraId="00000114">
            <w:pPr>
              <w:numPr>
                <w:ilvl w:val="0"/>
                <w:numId w:val="23"/>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a Crown Body, local government or regulatory bodies;</w:t>
            </w:r>
          </w:p>
          <w:p w:rsidR="00000000" w:rsidDel="00000000" w:rsidP="00000000" w:rsidRDefault="00000000" w:rsidRPr="00000000" w14:paraId="00000115">
            <w:pPr>
              <w:numPr>
                <w:ilvl w:val="0"/>
                <w:numId w:val="23"/>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or any disaster; or</w:t>
            </w:r>
          </w:p>
          <w:p w:rsidR="00000000" w:rsidDel="00000000" w:rsidP="00000000" w:rsidRDefault="00000000" w:rsidRPr="00000000" w14:paraId="00000116">
            <w:pPr>
              <w:numPr>
                <w:ilvl w:val="0"/>
                <w:numId w:val="23"/>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industrial dispute affecting a third party for which a substitute third party is not reasonably available but excluding:</w:t>
            </w:r>
          </w:p>
          <w:p w:rsidR="00000000" w:rsidDel="00000000" w:rsidP="00000000" w:rsidRDefault="00000000" w:rsidRPr="00000000" w14:paraId="00000117">
            <w:pPr>
              <w:numPr>
                <w:ilvl w:val="4"/>
                <w:numId w:val="15"/>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5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industrial dispute relating to the Supplier, the Supplier Staff (including any subsets of them) or any other failure in the Supplier or the Subcontractor's supply chain; </w:t>
            </w:r>
          </w:p>
          <w:p w:rsidR="00000000" w:rsidDel="00000000" w:rsidP="00000000" w:rsidRDefault="00000000" w:rsidRPr="00000000" w14:paraId="00000118">
            <w:pPr>
              <w:numPr>
                <w:ilvl w:val="4"/>
                <w:numId w:val="15"/>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5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occurrence, circumstance, matter or cause which is attributable to the wilful act, neglect or failure to take reasonable precautions against it by the Party concerned; and</w:t>
            </w:r>
          </w:p>
          <w:p w:rsidR="00000000" w:rsidDel="00000000" w:rsidP="00000000" w:rsidRDefault="00000000" w:rsidRPr="00000000" w14:paraId="00000119">
            <w:pPr>
              <w:numPr>
                <w:ilvl w:val="4"/>
                <w:numId w:val="15"/>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5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failure of delay caused by a lack of funds,</w:t>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left="14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which is not attributable to any wilful act, neglect or failure to take reasonable preventative action by that Party;</w:t>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1E">
            <w:pPr>
              <w:numPr>
                <w:ilvl w:val="0"/>
                <w:numId w:val="25"/>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w:t>
            </w:r>
          </w:p>
          <w:p w:rsidR="00000000" w:rsidDel="00000000" w:rsidP="00000000" w:rsidRDefault="00000000" w:rsidRPr="00000000" w14:paraId="0000011F">
            <w:pPr>
              <w:numPr>
                <w:ilvl w:val="0"/>
                <w:numId w:val="25"/>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taxation or duties of any sort affecting the Supplier) or which affects or relates to a Comparable Supply;</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Schedule 2 (Specification) and in relation to a Contract;</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any time the standards, practices, methods and procedures conforming to the Law and the exercise of the degree of skill and care, diligence, prudence and foresight which would reasonably and ordinarily be expected at such time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Welsh Government),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29">
            <w:pPr>
              <w:numPr>
                <w:ilvl w:val="0"/>
                <w:numId w:val="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Buyer’s Confidential Information, and which:</w:t>
            </w:r>
            <w:r w:rsidDel="00000000" w:rsidR="00000000" w:rsidRPr="00000000">
              <w:rPr>
                <w:rtl w:val="0"/>
              </w:rPr>
            </w:r>
          </w:p>
          <w:p w:rsidR="00000000" w:rsidDel="00000000" w:rsidP="00000000" w:rsidRDefault="00000000" w:rsidRPr="00000000" w14:paraId="0000012A">
            <w:pPr>
              <w:numPr>
                <w:ilvl w:val="4"/>
                <w:numId w:val="17"/>
              </w:numPr>
              <w:pBdr>
                <w:top w:space="0" w:sz="0" w:val="nil"/>
                <w:left w:space="0" w:sz="0" w:val="nil"/>
                <w:bottom w:space="0" w:sz="0" w:val="nil"/>
                <w:right w:space="0" w:sz="0" w:val="nil"/>
                <w:between w:space="0" w:sz="0" w:val="nil"/>
              </w:pBdr>
              <w:tabs>
                <w:tab w:val="left" w:leader="none" w:pos="1445"/>
                <w:tab w:val="left" w:leader="none" w:pos="1488"/>
              </w:tabs>
              <w:spacing w:after="120" w:before="120" w:lineRule="auto"/>
              <w:ind w:left="1445" w:hanging="55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Buyer; and/or</w:t>
            </w:r>
          </w:p>
          <w:p w:rsidR="00000000" w:rsidDel="00000000" w:rsidP="00000000" w:rsidRDefault="00000000" w:rsidRPr="00000000" w14:paraId="0000012B">
            <w:pPr>
              <w:numPr>
                <w:ilvl w:val="4"/>
                <w:numId w:val="17"/>
              </w:numPr>
              <w:pBdr>
                <w:top w:space="0" w:sz="0" w:val="nil"/>
                <w:left w:space="0" w:sz="0" w:val="nil"/>
                <w:bottom w:space="0" w:sz="0" w:val="nil"/>
                <w:right w:space="0" w:sz="0" w:val="nil"/>
                <w:between w:space="0" w:sz="0" w:val="nil"/>
              </w:pBdr>
              <w:tabs>
                <w:tab w:val="left" w:leader="none" w:pos="1445"/>
                <w:tab w:val="left" w:leader="none" w:pos="1488"/>
              </w:tabs>
              <w:spacing w:after="120" w:before="120" w:lineRule="auto"/>
              <w:ind w:left="1445" w:hanging="557"/>
              <w:rPr>
                <w:color w:val="000000"/>
                <w:sz w:val="22"/>
                <w:szCs w:val="22"/>
              </w:rPr>
            </w:pPr>
            <w:r w:rsidDel="00000000" w:rsidR="00000000" w:rsidRPr="00000000">
              <w:rPr>
                <w:rFonts w:ascii="Arial" w:cs="Arial" w:eastAsia="Arial" w:hAnsi="Arial"/>
                <w:color w:val="000000"/>
                <w:sz w:val="24"/>
                <w:szCs w:val="24"/>
                <w:rtl w:val="0"/>
              </w:rPr>
              <w:t xml:space="preserve">the Supplier is required to generate, process, store or transmit pursuant to this Contract; or</w:t>
            </w:r>
            <w:r w:rsidDel="00000000" w:rsidR="00000000" w:rsidRPr="00000000">
              <w:rPr>
                <w:rtl w:val="0"/>
              </w:rPr>
            </w:r>
          </w:p>
          <w:p w:rsidR="00000000" w:rsidDel="00000000" w:rsidP="00000000" w:rsidRDefault="00000000" w:rsidRPr="00000000" w14:paraId="0000012C">
            <w:pPr>
              <w:numPr>
                <w:ilvl w:val="0"/>
                <w:numId w:val="4"/>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Personal Data for which the Buyer is Controller;</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Procurement Card"</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Government’s preferred method of purchasing and payment for low value goods or services https://www.gov.uk/government/publications/government-procurement-card--2;</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Schedule 23 (Guarantee) in relation to this Contract;</w:t>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Environment"</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System and the Supplier System;</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Award Form (if used), which is in force as at the Effective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Buyer completed in good faith, including:</w:t>
            </w:r>
          </w:p>
          <w:p w:rsidR="00000000" w:rsidDel="00000000" w:rsidP="00000000" w:rsidRDefault="00000000" w:rsidRPr="00000000" w14:paraId="0000013B">
            <w:pPr>
              <w:numPr>
                <w:ilvl w:val="0"/>
                <w:numId w:val="8"/>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this Contract; </w:t>
            </w:r>
          </w:p>
          <w:p w:rsidR="00000000" w:rsidDel="00000000" w:rsidP="00000000" w:rsidRDefault="00000000" w:rsidRPr="00000000" w14:paraId="0000013C">
            <w:pPr>
              <w:numPr>
                <w:ilvl w:val="0"/>
                <w:numId w:val="8"/>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3D">
            <w:pPr>
              <w:numPr>
                <w:ilvl w:val="0"/>
                <w:numId w:val="8"/>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rsidR="00000000" w:rsidDel="00000000" w:rsidP="00000000" w:rsidRDefault="00000000" w:rsidRPr="00000000" w14:paraId="0000013E">
            <w:pPr>
              <w:numPr>
                <w:ilvl w:val="0"/>
                <w:numId w:val="8"/>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3F">
            <w:pPr>
              <w:numPr>
                <w:ilvl w:val="0"/>
                <w:numId w:val="8"/>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Buyer may reasonably request in (or in response to) the Variation request;</w:t>
            </w:r>
          </w:p>
        </w:tc>
      </w:tr>
      <w:tr>
        <w:trPr>
          <w:cantSplit w:val="0"/>
          <w:tblHeader w:val="0"/>
        </w:trPr>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Schedule 8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"Incorporated Terms"</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this Contract specified in the Award Form;</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69"/>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which is Controller of the same Personal Data as the other Party and there is no element of joint control with regards to that Personal Data;</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this Contract;</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this Contract specified in the Award Form;</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200" w:before="100" w:lineRule="auto"/>
              <w:ind w:left="17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0">
            <w:pPr>
              <w:numPr>
                <w:ilvl w:val="0"/>
                <w:numId w:val="1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person suspends, or threatens to suspend, payment of its debts, or is unable to pay its debts as they fall due or admits inability to pay its debts, or:</w:t>
            </w:r>
          </w:p>
          <w:p w:rsidR="00000000" w:rsidDel="00000000" w:rsidP="00000000" w:rsidRDefault="00000000" w:rsidRPr="00000000" w14:paraId="00000151">
            <w:pPr>
              <w:numPr>
                <w:ilvl w:val="1"/>
                <w:numId w:val="2"/>
              </w:numPr>
              <w:pBdr>
                <w:top w:space="0" w:sz="0" w:val="nil"/>
                <w:left w:space="0" w:sz="0" w:val="nil"/>
                <w:bottom w:space="0" w:sz="0" w:val="nil"/>
                <w:right w:space="0" w:sz="0" w:val="nil"/>
                <w:between w:space="0" w:sz="0" w:val="nil"/>
              </w:pBdr>
              <w:spacing w:after="200" w:before="100" w:lineRule="auto"/>
              <w:ind w:left="1440" w:hanging="552"/>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(being a company or an LLP) is deemed unable to pay its debts within the meaning of section 123 of the Insolvency Act 1986, or </w:t>
            </w:r>
          </w:p>
          <w:p w:rsidR="00000000" w:rsidDel="00000000" w:rsidP="00000000" w:rsidRDefault="00000000" w:rsidRPr="00000000" w14:paraId="00000152">
            <w:pPr>
              <w:numPr>
                <w:ilvl w:val="1"/>
                <w:numId w:val="2"/>
              </w:numPr>
              <w:pBdr>
                <w:top w:space="0" w:sz="0" w:val="nil"/>
                <w:left w:space="0" w:sz="0" w:val="nil"/>
                <w:bottom w:space="0" w:sz="0" w:val="nil"/>
                <w:right w:space="0" w:sz="0" w:val="nil"/>
                <w:between w:space="0" w:sz="0" w:val="nil"/>
              </w:pBdr>
              <w:spacing w:after="200" w:before="100" w:lineRule="auto"/>
              <w:ind w:left="1440" w:hanging="552"/>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(being a partnership) is deemed unable to pay its debts within the meaning of section 222 of the Insolvency Act 1986; </w:t>
            </w:r>
          </w:p>
          <w:p w:rsidR="00000000" w:rsidDel="00000000" w:rsidP="00000000" w:rsidRDefault="00000000" w:rsidRPr="00000000" w14:paraId="00000153">
            <w:pPr>
              <w:numPr>
                <w:ilvl w:val="0"/>
                <w:numId w:val="1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an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4">
            <w:pPr>
              <w:numPr>
                <w:ilvl w:val="0"/>
                <w:numId w:val="1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another person becomes entitled to appoint a receiver over the assets of that person or a receiver is appointed over the assets of that person; </w:t>
            </w:r>
          </w:p>
          <w:p w:rsidR="00000000" w:rsidDel="00000000" w:rsidP="00000000" w:rsidRDefault="00000000" w:rsidRPr="00000000" w14:paraId="00000155">
            <w:pPr>
              <w:numPr>
                <w:ilvl w:val="0"/>
                <w:numId w:val="1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rsidR="00000000" w:rsidDel="00000000" w:rsidP="00000000" w:rsidRDefault="00000000" w:rsidRPr="00000000" w14:paraId="00000156">
            <w:pPr>
              <w:numPr>
                <w:ilvl w:val="0"/>
                <w:numId w:val="1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person suspends or ceases, or threatens to suspend or cease, carrying on all or a substantial part of its business;</w:t>
            </w:r>
          </w:p>
          <w:p w:rsidR="00000000" w:rsidDel="00000000" w:rsidP="00000000" w:rsidRDefault="00000000" w:rsidRPr="00000000" w14:paraId="00000157">
            <w:pPr>
              <w:numPr>
                <w:ilvl w:val="0"/>
                <w:numId w:val="1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that person is a company, an LLP or a partnership:</w:t>
            </w:r>
          </w:p>
          <w:p w:rsidR="00000000" w:rsidDel="00000000" w:rsidP="00000000" w:rsidRDefault="00000000" w:rsidRPr="00000000" w14:paraId="00000158">
            <w:pPr>
              <w:numPr>
                <w:ilvl w:val="1"/>
                <w:numId w:val="18"/>
              </w:numPr>
              <w:pBdr>
                <w:top w:space="0" w:sz="0" w:val="nil"/>
                <w:left w:space="0" w:sz="0" w:val="nil"/>
                <w:bottom w:space="0" w:sz="0" w:val="nil"/>
                <w:right w:space="0" w:sz="0" w:val="nil"/>
                <w:between w:space="0" w:sz="0" w:val="nil"/>
              </w:pBdr>
              <w:spacing w:after="200" w:before="100" w:lineRule="auto"/>
              <w:ind w:left="1440" w:hanging="55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w:t>
            </w:r>
          </w:p>
          <w:p w:rsidR="00000000" w:rsidDel="00000000" w:rsidP="00000000" w:rsidRDefault="00000000" w:rsidRPr="00000000" w14:paraId="00000159">
            <w:pPr>
              <w:numPr>
                <w:ilvl w:val="1"/>
                <w:numId w:val="18"/>
              </w:numPr>
              <w:pBdr>
                <w:top w:space="0" w:sz="0" w:val="nil"/>
                <w:left w:space="0" w:sz="0" w:val="nil"/>
                <w:bottom w:space="0" w:sz="0" w:val="nil"/>
                <w:right w:space="0" w:sz="0" w:val="nil"/>
                <w:between w:space="0" w:sz="0" w:val="nil"/>
              </w:pBdr>
              <w:spacing w:after="200" w:before="100" w:lineRule="auto"/>
              <w:ind w:left="1440" w:hanging="55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application is made to court, or an order is made, for the appointment of an administrator, or if a notice of intention to appoint an administrator is filed at Court or given or if an administrator is appointed, over that person; </w:t>
            </w:r>
          </w:p>
          <w:p w:rsidR="00000000" w:rsidDel="00000000" w:rsidP="00000000" w:rsidRDefault="00000000" w:rsidRPr="00000000" w14:paraId="0000015A">
            <w:pPr>
              <w:numPr>
                <w:ilvl w:val="1"/>
                <w:numId w:val="18"/>
              </w:numPr>
              <w:pBdr>
                <w:top w:space="0" w:sz="0" w:val="nil"/>
                <w:left w:space="0" w:sz="0" w:val="nil"/>
                <w:bottom w:space="0" w:sz="0" w:val="nil"/>
                <w:right w:space="0" w:sz="0" w:val="nil"/>
                <w:between w:space="0" w:sz="0" w:val="nil"/>
              </w:pBdr>
              <w:spacing w:after="200" w:before="100" w:lineRule="auto"/>
              <w:ind w:left="1440" w:hanging="552"/>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(being a company or an LLP) the holder of a qualifying floating charge over the assets of that person has become entitled to appoint or has appointed an administrative receiver; or</w:t>
            </w:r>
          </w:p>
          <w:p w:rsidR="00000000" w:rsidDel="00000000" w:rsidP="00000000" w:rsidRDefault="00000000" w:rsidRPr="00000000" w14:paraId="0000015B">
            <w:pPr>
              <w:numPr>
                <w:ilvl w:val="1"/>
                <w:numId w:val="18"/>
              </w:numPr>
              <w:pBdr>
                <w:top w:space="0" w:sz="0" w:val="nil"/>
                <w:left w:space="0" w:sz="0" w:val="nil"/>
                <w:bottom w:space="0" w:sz="0" w:val="nil"/>
                <w:right w:space="0" w:sz="0" w:val="nil"/>
                <w:between w:space="0" w:sz="0" w:val="nil"/>
              </w:pBdr>
              <w:spacing w:after="200" w:before="100" w:lineRule="auto"/>
              <w:ind w:left="1440" w:hanging="55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(being a partnership) the holder of an agricultural floating charge over the assets of that person has become entitled to appoint or has appointed an agricultural receiver; or </w:t>
            </w:r>
          </w:p>
          <w:p w:rsidR="00000000" w:rsidDel="00000000" w:rsidP="00000000" w:rsidRDefault="00000000" w:rsidRPr="00000000" w14:paraId="0000015C">
            <w:pPr>
              <w:numPr>
                <w:ilvl w:val="0"/>
                <w:numId w:val="12"/>
              </w:numPr>
              <w:pBdr>
                <w:top w:space="0" w:sz="0" w:val="nil"/>
                <w:left w:space="0" w:sz="0" w:val="nil"/>
                <w:bottom w:space="0" w:sz="0" w:val="nil"/>
                <w:right w:space="0" w:sz="0" w:val="nil"/>
                <w:between w:space="0" w:sz="0" w:val="nil"/>
              </w:pBdr>
              <w:tabs>
                <w:tab w:val="left" w:leader="none" w:pos="-9"/>
              </w:tabs>
              <w:spacing w:after="120" w:before="120" w:lineRule="auto"/>
              <w:ind w:left="964" w:hanging="7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Contract Period to install the Goods in accordance with this Contract;</w:t>
            </w:r>
          </w:p>
        </w:tc>
      </w:tr>
      <w:tr>
        <w:trPr>
          <w:cantSplit w:val="0"/>
          <w:tblHeader w:val="0"/>
        </w:trPr>
        <w:tc>
          <w:tcPr/>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0">
            <w:pPr>
              <w:numPr>
                <w:ilvl w:val="0"/>
                <w:numId w:val="38"/>
              </w:num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color w:val="000000"/>
                <w:sz w:val="24"/>
                <w:szCs w:val="24"/>
              </w:rPr>
            </w:pPr>
            <w:bookmarkStart w:colFirst="0" w:colLast="0" w:name="_heading=h.3rdcrjn" w:id="8"/>
            <w:bookmarkEnd w:id="8"/>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1">
            <w:pPr>
              <w:numPr>
                <w:ilvl w:val="0"/>
                <w:numId w:val="38"/>
              </w:num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2">
            <w:pPr>
              <w:numPr>
                <w:ilvl w:val="0"/>
                <w:numId w:val="38"/>
              </w:num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 Completion Day"</w:t>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9"/>
              </w:tabs>
              <w:spacing w:after="120" w:before="120" w:lineRule="auto"/>
              <w:ind w:left="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European Union (Withdrawal Agreement) Act 2020;</w:t>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9"/>
              </w:tabs>
              <w:spacing w:after="120" w:before="120" w:lineRule="auto"/>
              <w:ind w:left="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(excluding COTS Software where Part B of Schedule 36 (Intellectual Property Rights) is used), used to provide the Deliverables or otherwise provided and/or licensed by the Supplier (or to which the Supplier has provided access) to the Buyer in the fulfilment of its obligations under this Contract;</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9"/>
              </w:tabs>
              <w:spacing w:after="120" w:before="120" w:lineRule="auto"/>
              <w:ind w:left="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9"/>
              </w:tabs>
              <w:spacing w:after="120" w:before="120" w:lineRule="auto"/>
              <w:ind w:left="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Buyer and the Supplier substantially in the form set out in Annex 2 of Schedule 20 (Processing Data);</w:t>
            </w:r>
          </w:p>
        </w:tc>
      </w:tr>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9"/>
              </w:tabs>
              <w:spacing w:after="120" w:before="120" w:lineRule="auto"/>
              <w:ind w:left="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(2) or more Controllers jointly determine the purposes and means of Processing;</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9"/>
              </w:tabs>
              <w:spacing w:after="120" w:before="120" w:lineRule="auto"/>
              <w:ind w:left="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in Article 26 of the UK GDPR, or EU GDPR, as the context requires;</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9"/>
              </w:tabs>
              <w:spacing w:after="120" w:before="120" w:lineRule="auto"/>
              <w:ind w:left="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who the Supplier shall appoint to fill key roles in connection with the Services as listed in Annex 1 of Schedule 29 (Key Supplier Staff); </w:t>
            </w:r>
          </w:p>
        </w:tc>
      </w:tr>
      <w:tr>
        <w:trPr>
          <w:cantSplit w:val="0"/>
          <w:trHeight w:val="357" w:hRule="atLeast"/>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9"/>
              </w:tabs>
              <w:spacing w:after="120" w:before="120" w:lineRule="auto"/>
              <w:ind w:left="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0"/>
              </w:tabs>
              <w:spacing w:after="120" w:before="120" w:lineRule="auto"/>
              <w:ind w:left="170" w:hanging="14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5">
            <w:pPr>
              <w:numPr>
                <w:ilvl w:val="0"/>
                <w:numId w:val="29"/>
              </w:num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76">
            <w:pPr>
              <w:numPr>
                <w:ilvl w:val="0"/>
                <w:numId w:val="29"/>
              </w:num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the Buyer performs (or would perform if appointed) a critical role in the provision of all or any part of the Deliverables; and/or</w:t>
            </w:r>
          </w:p>
          <w:p w:rsidR="00000000" w:rsidDel="00000000" w:rsidP="00000000" w:rsidRDefault="00000000" w:rsidRPr="00000000" w14:paraId="00000177">
            <w:pPr>
              <w:numPr>
                <w:ilvl w:val="0"/>
                <w:numId w:val="29"/>
              </w:num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this Contract value which at the time of appointment exceeds (or would exceed if appointed) 10% of the aggregate Charges forecast to be payable under this Contract,</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576"/>
                <w:tab w:val="left" w:leader="none" w:pos="144"/>
              </w:tabs>
              <w:spacing w:after="120" w:before="120" w:lineRule="auto"/>
              <w:ind w:left="14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the Award Form;</w:t>
            </w:r>
          </w:p>
        </w:tc>
      </w:tr>
      <w:tr>
        <w:trPr>
          <w:cantSplit w:val="0"/>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Effective Date;</w:t>
            </w:r>
          </w:p>
        </w:tc>
      </w:tr>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practice, judgement of a relevant court of law, or directives or requirements of any regulatory body with which the Supplier is bound to comply;</w:t>
            </w:r>
          </w:p>
        </w:tc>
      </w:tr>
      <w:tr>
        <w:trPr>
          <w:cantSplit w:val="0"/>
          <w:tblHeader w:val="0"/>
        </w:trP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 Enforcement Processing"</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175"/>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processing under Part 3 of the DPA 2018;</w:t>
            </w:r>
          </w:p>
        </w:tc>
      </w:tr>
      <w:tr>
        <w:trPr>
          <w:cantSplit w:val="0"/>
          <w:tblHeader w:val="0"/>
        </w:trP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judgement,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"Malicious Software"</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"Material Default"</w:t>
            </w:r>
            <w:r w:rsidDel="00000000" w:rsidR="00000000" w:rsidRPr="00000000">
              <w:rPr>
                <w:rtl w:val="0"/>
              </w:rPr>
            </w:r>
          </w:p>
        </w:tc>
        <w:tc>
          <w:tcPr/>
          <w:p w:rsidR="00000000" w:rsidDel="00000000" w:rsidP="00000000" w:rsidRDefault="00000000" w:rsidRPr="00000000" w14:paraId="00000184">
            <w:pPr>
              <w:tabs>
                <w:tab w:val="left" w:leader="none" w:pos="1803"/>
              </w:tabs>
              <w:spacing w:after="200" w:before="100" w:lineRule="auto"/>
              <w:ind w:left="18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single serious Default or a number of Defaults or repeated Defaults (whether of the same or different obligations and regardless of whether such Defaults are remedied)</w:t>
            </w:r>
            <w:r w:rsidDel="00000000" w:rsidR="00000000" w:rsidRPr="00000000">
              <w:rPr>
                <w:rtl w:val="0"/>
              </w:rPr>
            </w:r>
          </w:p>
        </w:tc>
      </w:tr>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Award Form;</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90">
            <w:pPr>
              <w:numPr>
                <w:ilvl w:val="0"/>
                <w:numId w:val="32"/>
              </w:numPr>
              <w:pBdr>
                <w:top w:space="0" w:sz="0" w:val="nil"/>
                <w:left w:space="0" w:sz="0" w:val="nil"/>
                <w:bottom w:space="0" w:sz="0" w:val="nil"/>
                <w:right w:space="0" w:sz="0" w:val="nil"/>
                <w:between w:space="0" w:sz="0" w:val="nil"/>
              </w:pBdr>
              <w:spacing w:after="200" w:before="100" w:lineRule="auto"/>
              <w:ind w:left="720" w:hanging="54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this Contract and updates and amendments of these items including database schema; and/or</w:t>
            </w:r>
          </w:p>
          <w:p w:rsidR="00000000" w:rsidDel="00000000" w:rsidP="00000000" w:rsidRDefault="00000000" w:rsidRPr="00000000" w14:paraId="00000191">
            <w:pPr>
              <w:numPr>
                <w:ilvl w:val="0"/>
                <w:numId w:val="32"/>
              </w:numPr>
              <w:pBdr>
                <w:top w:space="0" w:sz="0" w:val="nil"/>
                <w:left w:space="0" w:sz="0" w:val="nil"/>
                <w:bottom w:space="0" w:sz="0" w:val="nil"/>
                <w:right w:space="0" w:sz="0" w:val="nil"/>
                <w:between w:space="0" w:sz="0" w:val="nil"/>
              </w:pBdr>
              <w:spacing w:after="200" w:before="100" w:lineRule="auto"/>
              <w:ind w:left="720" w:hanging="54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this Contract and all updates and amendments to the same; </w:t>
            </w:r>
          </w:p>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 or Specially Written Software</w:t>
            </w:r>
          </w:p>
        </w:tc>
      </w:tr>
      <w:tr>
        <w:trPr>
          <w:cantSplit w:val="0"/>
          <w:tblHeader w:val="0"/>
        </w:trPr>
        <w:tc>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 Item"</w:t>
            </w:r>
          </w:p>
        </w:tc>
        <w:tc>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leader="none" w:pos="169"/>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deliverable, document, product or other item within which New IPR subsists;</w:t>
            </w:r>
          </w:p>
        </w:tc>
      </w:tr>
      <w:tr>
        <w:trPr>
          <w:cantSplit w:val="0"/>
          <w:tblHeader w:val="0"/>
        </w:trPr>
        <w:tc>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"Notifiable Default"</w:t>
            </w:r>
          </w:p>
        </w:tc>
        <w:tc>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w:t>
            </w:r>
          </w:p>
          <w:p w:rsidR="00000000" w:rsidDel="00000000" w:rsidP="00000000" w:rsidRDefault="00000000" w:rsidRPr="00000000" w14:paraId="00000197">
            <w:pPr>
              <w:numPr>
                <w:ilvl w:val="0"/>
                <w:numId w:val="3"/>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commits a Material Default; and/or</w:t>
            </w:r>
          </w:p>
          <w:p w:rsidR="00000000" w:rsidDel="00000000" w:rsidP="00000000" w:rsidRDefault="00000000" w:rsidRPr="00000000" w14:paraId="00000198">
            <w:pPr>
              <w:numPr>
                <w:ilvl w:val="0"/>
                <w:numId w:val="3"/>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of the Supplier is likely to cause or causes a Critical Service Level Failure;</w:t>
            </w:r>
          </w:p>
        </w:tc>
      </w:tr>
      <w:tr>
        <w:trPr>
          <w:cantSplit w:val="0"/>
          <w:tblHeader w:val="0"/>
        </w:trPr>
        <w:tc>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"Object Code"</w:t>
            </w:r>
          </w:p>
        </w:tc>
        <w:tc>
          <w:tcPr/>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software and/or data in machine-readable complied object code form;</w:t>
            </w:r>
          </w:p>
        </w:tc>
      </w:tr>
      <w:tr>
        <w:trPr>
          <w:cantSplit w:val="0"/>
          <w:tblHeader w:val="0"/>
        </w:trPr>
        <w:tc>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 –Compliance"</w:t>
            </w:r>
          </w:p>
        </w:tc>
        <w:tc>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9D">
            <w:pPr>
              <w:numPr>
                <w:ilvl w:val="0"/>
                <w:numId w:val="35"/>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is found on or after 1 April 2013 to be incorrect as a result of:</w:t>
            </w:r>
          </w:p>
          <w:p w:rsidR="00000000" w:rsidDel="00000000" w:rsidP="00000000" w:rsidRDefault="00000000" w:rsidRPr="00000000" w14:paraId="0000019E">
            <w:pPr>
              <w:numPr>
                <w:ilvl w:val="4"/>
                <w:numId w:val="43"/>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9F">
            <w:pPr>
              <w:numPr>
                <w:ilvl w:val="4"/>
                <w:numId w:val="43"/>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0">
            <w:pPr>
              <w:numPr>
                <w:ilvl w:val="0"/>
                <w:numId w:val="35"/>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w:t>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this Contract, including details and all assumptions relating to:</w:t>
            </w:r>
          </w:p>
          <w:p w:rsidR="00000000" w:rsidDel="00000000" w:rsidP="00000000" w:rsidRDefault="00000000" w:rsidRPr="00000000" w14:paraId="000001A3">
            <w:pPr>
              <w:numPr>
                <w:ilvl w:val="0"/>
                <w:numId w:val="44"/>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4">
            <w:pPr>
              <w:numPr>
                <w:ilvl w:val="0"/>
                <w:numId w:val="44"/>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A5">
            <w:pPr>
              <w:numPr>
                <w:ilvl w:val="4"/>
                <w:numId w:val="5"/>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A6">
            <w:pPr>
              <w:numPr>
                <w:ilvl w:val="4"/>
                <w:numId w:val="43"/>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manpower resources broken down into the number and grade/role of all Supplier Staff (free of any contingency) together with a list of agreed rates against each manpower grade;</w:t>
            </w:r>
          </w:p>
          <w:p w:rsidR="00000000" w:rsidDel="00000000" w:rsidP="00000000" w:rsidRDefault="00000000" w:rsidRPr="00000000" w14:paraId="000001A7">
            <w:pPr>
              <w:numPr>
                <w:ilvl w:val="4"/>
                <w:numId w:val="43"/>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manpower grade, being the agreed rate less the Supplier Profit Margin; and</w:t>
            </w:r>
          </w:p>
          <w:p w:rsidR="00000000" w:rsidDel="00000000" w:rsidP="00000000" w:rsidRDefault="00000000" w:rsidRPr="00000000" w14:paraId="000001A8">
            <w:pPr>
              <w:numPr>
                <w:ilvl w:val="4"/>
                <w:numId w:val="43"/>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Award Form; </w:t>
            </w:r>
          </w:p>
          <w:p w:rsidR="00000000" w:rsidDel="00000000" w:rsidP="00000000" w:rsidRDefault="00000000" w:rsidRPr="00000000" w14:paraId="000001A9">
            <w:pPr>
              <w:numPr>
                <w:ilvl w:val="0"/>
                <w:numId w:val="44"/>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AA">
            <w:pPr>
              <w:numPr>
                <w:ilvl w:val="0"/>
                <w:numId w:val="44"/>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AB">
            <w:pPr>
              <w:numPr>
                <w:ilvl w:val="0"/>
                <w:numId w:val="44"/>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Contract Period and on an annual basis;</w:t>
            </w:r>
          </w:p>
          <w:p w:rsidR="00000000" w:rsidDel="00000000" w:rsidP="00000000" w:rsidRDefault="00000000" w:rsidRPr="00000000" w14:paraId="000001AC">
            <w:pPr>
              <w:numPr>
                <w:ilvl w:val="0"/>
                <w:numId w:val="44"/>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AD">
            <w:pPr>
              <w:numPr>
                <w:ilvl w:val="0"/>
                <w:numId w:val="44"/>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AE">
            <w:pPr>
              <w:numPr>
                <w:ilvl w:val="0"/>
                <w:numId w:val="44"/>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Licence"</w:t>
            </w:r>
          </w:p>
        </w:tc>
        <w:tc>
          <w:tcPr/>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material that is published for use, with rights to access, copy, modify and publish, by any person for free, under a generally recognised open licence including Open Government Licence as set out at </w:t>
            </w:r>
            <w:hyperlink r:id="rId8">
              <w:r w:rsidDel="00000000" w:rsidR="00000000" w:rsidRPr="00000000">
                <w:rPr>
                  <w:rFonts w:ascii="Arial" w:cs="Arial" w:eastAsia="Arial" w:hAnsi="Arial"/>
                  <w:color w:val="0000ff"/>
                  <w:sz w:val="24"/>
                  <w:szCs w:val="24"/>
                  <w:u w:val="single"/>
                  <w:rtl w:val="0"/>
                </w:rPr>
                <w:t xml:space="preserve">http://www.nationalarchives.gov.uk/doc/open-government-licence/version/3/</w:t>
              </w:r>
            </w:hyperlink>
            <w:r w:rsidDel="00000000" w:rsidR="00000000" w:rsidRPr="00000000">
              <w:rPr>
                <w:rFonts w:ascii="Arial" w:cs="Arial" w:eastAsia="Arial" w:hAnsi="Arial"/>
                <w:color w:val="000000"/>
                <w:sz w:val="24"/>
                <w:szCs w:val="24"/>
                <w:rtl w:val="0"/>
              </w:rPr>
              <w:t xml:space="preserve"> and the Open Standards Principles documented at </w:t>
            </w:r>
            <w:hyperlink r:id="rId9">
              <w:r w:rsidDel="00000000" w:rsidR="00000000" w:rsidRPr="00000000">
                <w:rPr>
                  <w:rFonts w:ascii="Arial" w:cs="Arial" w:eastAsia="Arial" w:hAnsi="Arial"/>
                  <w:color w:val="0000ff"/>
                  <w:sz w:val="24"/>
                  <w:szCs w:val="24"/>
                  <w:u w:val="single"/>
                  <w:rtl w:val="0"/>
                </w:rPr>
                <w:t xml:space="preserve">https://www.gov.uk/government/publications/open-standards-principles/open-standards-principles</w:t>
              </w:r>
            </w:hyperlink>
            <w:r w:rsidDel="00000000" w:rsidR="00000000" w:rsidRPr="00000000">
              <w:rPr>
                <w:rFonts w:ascii="Arial" w:cs="Arial" w:eastAsia="Arial" w:hAnsi="Arial"/>
                <w:color w:val="0000ff"/>
                <w:sz w:val="24"/>
                <w:szCs w:val="24"/>
                <w:u w:val="single"/>
                <w:rtl w:val="0"/>
              </w:rPr>
              <w:t xml:space="preserve">, </w:t>
            </w:r>
            <w:r w:rsidDel="00000000" w:rsidR="00000000" w:rsidRPr="00000000">
              <w:rPr>
                <w:rFonts w:ascii="Arial" w:cs="Arial" w:eastAsia="Arial" w:hAnsi="Arial"/>
                <w:color w:val="000000"/>
                <w:sz w:val="24"/>
                <w:szCs w:val="24"/>
                <w:rtl w:val="0"/>
              </w:rPr>
              <w:t xml:space="preserve"> and includes the Open Source publication of Software;</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Source"</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computer Software that is released on the internet for use by any person, such release usually being made under a recognised open source licence and stating that it is released as open source;</w:t>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Licence Publication Material"</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items created pursuant to this Contract which the Buyer may wish to publish as Open Licence which are supplied in a format suitable for publication under Open Licence;</w:t>
            </w:r>
          </w:p>
        </w:tc>
      </w:tr>
      <w:tr>
        <w:trPr>
          <w:cantSplit w:val="0"/>
          <w:tblHeader w:val="0"/>
        </w:trP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"Parent Undertaking"</w:t>
            </w:r>
          </w:p>
        </w:tc>
        <w:tc>
          <w:tcPr/>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set out in section 1162 of the Companies Act 2006;</w:t>
            </w:r>
          </w:p>
        </w:tc>
      </w:tr>
      <w:tr>
        <w:trPr>
          <w:cantSplit w:val="0"/>
          <w:tblHeader w:val="0"/>
        </w:trP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or the Supplier and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10">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 Personnel"</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the Processor and/or of any Subprocessor engaged in the performance of its obligations under this Contract;</w:t>
            </w:r>
          </w:p>
        </w:tc>
      </w:tr>
      <w:tr>
        <w:trPr>
          <w:cantSplit w:val="0"/>
          <w:tblHeader w:val="0"/>
        </w:trPr>
        <w:tc>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CE">
            <w:pPr>
              <w:numPr>
                <w:ilvl w:val="0"/>
                <w:numId w:val="13"/>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the Buyer or any other public body a financial or other advantage to:</w:t>
            </w:r>
          </w:p>
          <w:p w:rsidR="00000000" w:rsidDel="00000000" w:rsidP="00000000" w:rsidRDefault="00000000" w:rsidRPr="00000000" w14:paraId="000001CF">
            <w:pPr>
              <w:numPr>
                <w:ilvl w:val="4"/>
                <w:numId w:val="10"/>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D0">
            <w:pPr>
              <w:numPr>
                <w:ilvl w:val="4"/>
                <w:numId w:val="10"/>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D1">
            <w:pPr>
              <w:numPr>
                <w:ilvl w:val="0"/>
                <w:numId w:val="13"/>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this Contract; or</w:t>
            </w:r>
          </w:p>
          <w:p w:rsidR="00000000" w:rsidDel="00000000" w:rsidP="00000000" w:rsidRDefault="00000000" w:rsidRPr="00000000" w14:paraId="000001D2">
            <w:pPr>
              <w:numPr>
                <w:ilvl w:val="0"/>
                <w:numId w:val="13"/>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bookmarkStart w:colFirst="0" w:colLast="0" w:name="_heading=h.26in1rg" w:id="9"/>
            <w:bookmarkEnd w:id="9"/>
            <w:r w:rsidDel="00000000" w:rsidR="00000000" w:rsidRPr="00000000">
              <w:rPr>
                <w:rFonts w:ascii="Arial" w:cs="Arial" w:eastAsia="Arial" w:hAnsi="Arial"/>
                <w:color w:val="000000"/>
                <w:sz w:val="24"/>
                <w:szCs w:val="24"/>
                <w:rtl w:val="0"/>
              </w:rPr>
              <w:t xml:space="preserve">committing any offence:</w:t>
            </w:r>
          </w:p>
          <w:p w:rsidR="00000000" w:rsidDel="00000000" w:rsidP="00000000" w:rsidRDefault="00000000" w:rsidRPr="00000000" w14:paraId="000001D3">
            <w:pPr>
              <w:numPr>
                <w:ilvl w:val="4"/>
                <w:numId w:val="41"/>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D4">
            <w:pPr>
              <w:numPr>
                <w:ilvl w:val="4"/>
                <w:numId w:val="41"/>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D5">
            <w:pPr>
              <w:numPr>
                <w:ilvl w:val="4"/>
                <w:numId w:val="41"/>
              </w:numPr>
              <w:pBdr>
                <w:top w:space="0" w:sz="0" w:val="nil"/>
                <w:left w:space="0" w:sz="0" w:val="nil"/>
                <w:bottom w:space="0" w:sz="0" w:val="nil"/>
                <w:right w:space="0" w:sz="0" w:val="nil"/>
                <w:between w:space="0" w:sz="0" w:val="nil"/>
              </w:pBdr>
              <w:tabs>
                <w:tab w:val="left" w:leader="none" w:pos="3402"/>
                <w:tab w:val="left" w:leader="none" w:pos="1488"/>
              </w:tabs>
              <w:spacing w:after="120" w:before="12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the Buyer or other public body; or </w:t>
            </w:r>
          </w:p>
          <w:p w:rsidR="00000000" w:rsidDel="00000000" w:rsidP="00000000" w:rsidRDefault="00000000" w:rsidRPr="00000000" w14:paraId="000001D6">
            <w:pPr>
              <w:numPr>
                <w:ilvl w:val="0"/>
                <w:numId w:val="13"/>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bookmarkStart w:colFirst="0" w:colLast="0" w:name="_heading=h.4d34og8" w:id="10"/>
            <w:bookmarkEnd w:id="10"/>
            <w:r w:rsidDel="00000000" w:rsidR="00000000" w:rsidRPr="00000000">
              <w:rPr>
                <w:rFonts w:ascii="Arial" w:cs="Arial" w:eastAsia="Arial" w:hAnsi="Arial"/>
                <w:color w:val="000000"/>
                <w:sz w:val="24"/>
                <w:szCs w:val="24"/>
                <w:rtl w:val="0"/>
              </w:rPr>
              <w:t xml:space="preserve">technical and organisational measures designed to ensure compliance with obligations of the Parties arising under Data Protection Legislation</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16 (Security);</w:t>
            </w:r>
          </w:p>
        </w:tc>
      </w:tr>
      <w:tr>
        <w:trPr>
          <w:cantSplit w:val="0"/>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"Public Sector Body "</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formally established organisation that is (at least in part) publicly funded to deliver a public or government service;</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IPR rights) that might endanger health or hinder performance;</w:t>
            </w:r>
          </w:p>
        </w:tc>
      </w:tr>
      <w:tr>
        <w:trPr>
          <w:cantSplit w:val="0"/>
          <w:tblHeader w:val="0"/>
        </w:trPr>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Schedule 25 (Rectification Plan) which shall include:</w:t>
            </w:r>
          </w:p>
          <w:p w:rsidR="00000000" w:rsidDel="00000000" w:rsidP="00000000" w:rsidRDefault="00000000" w:rsidRPr="00000000" w14:paraId="000001E1">
            <w:pPr>
              <w:numPr>
                <w:ilvl w:val="0"/>
                <w:numId w:val="11"/>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Notifiable Default that has occurred, including a root cause analysis; </w:t>
            </w:r>
          </w:p>
          <w:p w:rsidR="00000000" w:rsidDel="00000000" w:rsidP="00000000" w:rsidRDefault="00000000" w:rsidRPr="00000000" w14:paraId="000001E2">
            <w:pPr>
              <w:numPr>
                <w:ilvl w:val="0"/>
                <w:numId w:val="11"/>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Notifiable Default; and</w:t>
            </w:r>
          </w:p>
          <w:p w:rsidR="00000000" w:rsidDel="00000000" w:rsidP="00000000" w:rsidRDefault="00000000" w:rsidRPr="00000000" w14:paraId="000001E3">
            <w:pPr>
              <w:numPr>
                <w:ilvl w:val="0"/>
                <w:numId w:val="11"/>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Notifiable Default (if applicable) and to prevent such Notifiable Default from recurring, including timescales for such steps and for the rectification of the Notifiable Default (where applicable);</w:t>
            </w:r>
          </w:p>
        </w:tc>
      </w:tr>
      <w:tr>
        <w:trPr>
          <w:cantSplit w:val="0"/>
          <w:tblHeader w:val="0"/>
        </w:trP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11; </w:t>
            </w:r>
          </w:p>
        </w:tc>
      </w:tr>
      <w:tr>
        <w:trPr>
          <w:cantSplit w:val="0"/>
          <w:tblHeader w:val="0"/>
        </w:trPr>
        <w:tc>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EA">
            <w:pPr>
              <w:numPr>
                <w:ilvl w:val="0"/>
                <w:numId w:val="14"/>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EB">
            <w:pPr>
              <w:numPr>
                <w:ilvl w:val="0"/>
                <w:numId w:val="14"/>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2"/>
                <w:szCs w:val="22"/>
              </w:rPr>
            </w:pPr>
            <w:r w:rsidDel="00000000" w:rsidR="00000000" w:rsidRPr="00000000">
              <w:rPr>
                <w:rFonts w:ascii="Arial" w:cs="Arial" w:eastAsia="Arial" w:hAnsi="Arial"/>
                <w:color w:val="000000"/>
                <w:sz w:val="24"/>
                <w:szCs w:val="24"/>
                <w:rtl w:val="0"/>
              </w:rPr>
              <w:t xml:space="preserve">a notice sent in accordance with Clause 14.6.1 given by the Supplier to the Buyer providing notification that payment has not been received on time; </w:t>
            </w:r>
            <w:r w:rsidDel="00000000" w:rsidR="00000000" w:rsidRPr="00000000">
              <w:rPr>
                <w:rtl w:val="0"/>
              </w:rPr>
            </w:r>
          </w:p>
        </w:tc>
      </w:tr>
      <w:tr>
        <w:trPr>
          <w:cantSplit w:val="0"/>
          <w:tblHeader w:val="0"/>
        </w:trPr>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2"/>
                <w:szCs w:val="22"/>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whether those goods are provided by the Buyer internally and/or by any third party;</w:t>
            </w:r>
            <w:r w:rsidDel="00000000" w:rsidR="00000000" w:rsidRPr="00000000">
              <w:rPr>
                <w:rtl w:val="0"/>
              </w:rPr>
            </w:r>
          </w:p>
        </w:tc>
      </w:tr>
      <w:tr>
        <w:trPr>
          <w:cantSplit w:val="0"/>
          <w:tblHeader w:val="0"/>
        </w:trPr>
        <w:tc>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this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Action"</w:t>
            </w:r>
          </w:p>
        </w:tc>
        <w:tc>
          <w:tcPr/>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action the Buyer will take and what Deliverables it will control during the Step-In Process;</w:t>
            </w:r>
          </w:p>
        </w:tc>
      </w:tr>
      <w:tr>
        <w:trPr>
          <w:cantSplit w:val="0"/>
          <w:tblHeader w:val="0"/>
        </w:trPr>
        <w:tc>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1F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Schedule 22 (Insurance Requirements); </w:t>
            </w:r>
          </w:p>
        </w:tc>
      </w:tr>
      <w:tr>
        <w:trPr>
          <w:cantSplit w:val="0"/>
          <w:tblHeader w:val="0"/>
        </w:trPr>
        <w:tc>
          <w:tcPr/>
          <w:p w:rsidR="00000000" w:rsidDel="00000000" w:rsidP="00000000" w:rsidRDefault="00000000" w:rsidRPr="00000000" w14:paraId="000001F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1F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Annex 2 of Part B of Schedule 8 (Implementation Plan and Testing) or as agreed by the Parties where Schedule 8 is not used in this Contract) granted by the Buyer when the Supplier has Achieved a Milestone or a Test;</w:t>
            </w:r>
          </w:p>
        </w:tc>
      </w:tr>
      <w:tr>
        <w:trPr>
          <w:cantSplit w:val="0"/>
          <w:tblHeader w:val="0"/>
        </w:trPr>
        <w:tc>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"Schedules"</w:t>
            </w:r>
          </w:p>
        </w:tc>
        <w:tc>
          <w:tcPr/>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attachment to this Contract which contains important information specific to each aspect of buying and selling;</w:t>
            </w:r>
          </w:p>
        </w:tc>
      </w:tr>
      <w:tr>
        <w:trPr>
          <w:cantSplit w:val="0"/>
          <w:tblHeader w:val="0"/>
        </w:trPr>
        <w:tc>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0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Schedule 16 (Security) (if applicable); </w:t>
            </w:r>
          </w:p>
        </w:tc>
      </w:tr>
      <w:tr>
        <w:trPr>
          <w:cantSplit w:val="0"/>
          <w:tblHeader w:val="0"/>
        </w:trPr>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Award Form (if used), in force as at the Effective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Credits"</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specified in the Annex to Part A of Schedule 10 (Service Levels) being payable by the Supplier to the Buyer in respect of any failure by the Supplier to meet one or more Service Levels;</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this Contract (which, where Schedule 10 (Service Levels) is used in this Contract, are specified in the Annex to Part A of such Schedule);</w:t>
            </w:r>
          </w:p>
        </w:tc>
      </w:tr>
      <w:tr>
        <w:trPr>
          <w:cantSplit w:val="0"/>
          <w:tblHeader w:val="0"/>
        </w:trP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Award Form;</w:t>
            </w:r>
          </w:p>
        </w:tc>
      </w:tr>
      <w:tr>
        <w:trPr>
          <w:cantSplit w:val="0"/>
          <w:tblHeader w:val="0"/>
        </w:trP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Schedule 2 (Specification) and in relation to a Contract;</w:t>
            </w:r>
          </w:p>
        </w:tc>
      </w:tr>
      <w:tr>
        <w:trPr>
          <w:cantSplit w:val="0"/>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10">
            <w:pPr>
              <w:numPr>
                <w:ilvl w:val="0"/>
                <w:numId w:val="16"/>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11">
            <w:pPr>
              <w:numPr>
                <w:ilvl w:val="0"/>
                <w:numId w:val="16"/>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p w:rsidR="00000000" w:rsidDel="00000000" w:rsidP="00000000" w:rsidRDefault="00000000" w:rsidRPr="00000000" w14:paraId="00000212">
            <w:pPr>
              <w:numPr>
                <w:ilvl w:val="0"/>
                <w:numId w:val="16"/>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premises at which any Supplier Equipment or any part of the Supplier System is located (where ICT Services are being provided);</w:t>
            </w:r>
          </w:p>
        </w:tc>
      </w:tr>
      <w:tr>
        <w:trPr>
          <w:cantSplit w:val="0"/>
          <w:trHeight w:val="945" w:hRule="atLeast"/>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"Social Value"</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additional social benefits that can be achieved in the delivery of this Contract set out in Schedule 2 (Specification) and either (i) Schedule 10 (Service Levels) (where used) or (ii) Part C of Schedule 26 (Sustainability) (where Schedule 10 (Service Levels) is not used);</w:t>
            </w:r>
          </w:p>
        </w:tc>
      </w:tr>
      <w:tr>
        <w:trPr>
          <w:cantSplit w:val="0"/>
          <w:trHeight w:val="945" w:hRule="atLeast"/>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"Social Value KPIs"</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Social Value priorities set out in Schedule 2 (Specification) and either (i) Schedule 10 (Service Levels) (where used) or (ii) Part C of Schedule 26 (Sustainability) (where Schedule 10 (Service Levels) is not used;</w:t>
            </w:r>
          </w:p>
        </w:tc>
      </w:tr>
      <w:tr>
        <w:trPr>
          <w:cantSplit w:val="0"/>
          <w:trHeight w:val="945" w:hRule="atLeast"/>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"Social Value Report"</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report the Supplier is required to provide to the Buyer pursuant to Paragraph 1 of Part C of Schedule 26 (Sustainability) where Schedule 10 (Service Levels) is not used;</w:t>
            </w:r>
          </w:p>
        </w:tc>
      </w:tr>
      <w:tr>
        <w:trPr>
          <w:cantSplit w:val="0"/>
          <w:trHeight w:val="945" w:hRule="atLeast"/>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including Specially Written Software, COTS Software and software that is not COTS Software;</w:t>
            </w:r>
          </w:p>
        </w:tc>
      </w:tr>
      <w:tr>
        <w:trPr>
          <w:cantSplit w:val="0"/>
          <w:trHeight w:val="945" w:hRule="atLeast"/>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 Supporting Materials"</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Schedule 36 (Intellectual Property Rights);</w:t>
            </w:r>
          </w:p>
        </w:tc>
      </w:tr>
      <w:tr>
        <w:trPr>
          <w:cantSplit w:val="0"/>
          <w:trHeight w:val="945" w:hRule="atLeast"/>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"Source Code"</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rHeight w:val="945" w:hRule="atLeast"/>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set out in the Award Form incorporated into this Contract;</w:t>
            </w:r>
          </w:p>
        </w:tc>
      </w:tr>
      <w:tr>
        <w:trPr>
          <w:cantSplit w:val="0"/>
          <w:trHeight w:val="945" w:hRule="atLeast"/>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"Specially Written Software"</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rHeight w:val="945" w:hRule="atLeast"/>
          <w:tblHeader w:val="0"/>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Effective Date;</w:t>
            </w:r>
          </w:p>
        </w:tc>
      </w:tr>
      <w:tr>
        <w:trPr>
          <w:cantSplit w:val="0"/>
          <w:trHeight w:val="945" w:hRule="atLeast"/>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Schedule 2 (Specification);</w:t>
            </w:r>
          </w:p>
        </w:tc>
      </w:tr>
      <w:tr>
        <w:trPr>
          <w:cantSplit w:val="0"/>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2B">
            <w:pPr>
              <w:numPr>
                <w:ilvl w:val="0"/>
                <w:numId w:val="39"/>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2C">
            <w:pPr>
              <w:numPr>
                <w:ilvl w:val="0"/>
                <w:numId w:val="39"/>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2 (Specification);</w:t>
            </w:r>
          </w:p>
          <w:p w:rsidR="00000000" w:rsidDel="00000000" w:rsidP="00000000" w:rsidRDefault="00000000" w:rsidRPr="00000000" w14:paraId="0000022D">
            <w:pPr>
              <w:numPr>
                <w:ilvl w:val="0"/>
                <w:numId w:val="39"/>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agreed between the Parties from time to time;</w:t>
            </w:r>
          </w:p>
          <w:p w:rsidR="00000000" w:rsidDel="00000000" w:rsidP="00000000" w:rsidRDefault="00000000" w:rsidRPr="00000000" w14:paraId="0000022E">
            <w:pPr>
              <w:numPr>
                <w:ilvl w:val="0"/>
                <w:numId w:val="39"/>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specified on the Award Form;</w:t>
            </w:r>
          </w:p>
        </w:tc>
      </w:tr>
      <w:tr>
        <w:trPr>
          <w:cantSplit w:val="0"/>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"Step-In Process"</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13;</w:t>
            </w:r>
          </w:p>
        </w:tc>
      </w:tr>
      <w:tr>
        <w:trPr>
          <w:cantSplit w:val="0"/>
          <w:tblHeader w:val="0"/>
        </w:trPr>
        <w:tc>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"Step-In Trigger Event"</w:t>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w:t>
            </w:r>
          </w:p>
          <w:p w:rsidR="00000000" w:rsidDel="00000000" w:rsidP="00000000" w:rsidRDefault="00000000" w:rsidRPr="00000000" w14:paraId="00000235">
            <w:pPr>
              <w:numPr>
                <w:ilvl w:val="0"/>
                <w:numId w:val="30"/>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level of performance constituting a Critical Service Level Failure;</w:t>
            </w:r>
          </w:p>
          <w:p w:rsidR="00000000" w:rsidDel="00000000" w:rsidP="00000000" w:rsidRDefault="00000000" w:rsidRPr="00000000" w14:paraId="00000236">
            <w:pPr>
              <w:numPr>
                <w:ilvl w:val="0"/>
                <w:numId w:val="30"/>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committing a Material Default which is irremediable;</w:t>
            </w:r>
          </w:p>
          <w:p w:rsidR="00000000" w:rsidDel="00000000" w:rsidP="00000000" w:rsidRDefault="00000000" w:rsidRPr="00000000" w14:paraId="00000237">
            <w:pPr>
              <w:numPr>
                <w:ilvl w:val="0"/>
                <w:numId w:val="30"/>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right of termination is expressly reserved in this Contract;</w:t>
            </w:r>
          </w:p>
          <w:p w:rsidR="00000000" w:rsidDel="00000000" w:rsidP="00000000" w:rsidRDefault="00000000" w:rsidRPr="00000000" w14:paraId="00000238">
            <w:pPr>
              <w:numPr>
                <w:ilvl w:val="0"/>
                <w:numId w:val="30"/>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Insolvency Event occurring in respect of the Supplier or any Guarantor;</w:t>
            </w:r>
          </w:p>
          <w:p w:rsidR="00000000" w:rsidDel="00000000" w:rsidP="00000000" w:rsidRDefault="00000000" w:rsidRPr="00000000" w14:paraId="00000239">
            <w:pPr>
              <w:numPr>
                <w:ilvl w:val="0"/>
                <w:numId w:val="30"/>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Default by the Supplier that is materially preventing or materially delaying the provision of the Deliverables or any material part of them;</w:t>
            </w:r>
          </w:p>
          <w:p w:rsidR="00000000" w:rsidDel="00000000" w:rsidP="00000000" w:rsidRDefault="00000000" w:rsidRPr="00000000" w14:paraId="0000023A">
            <w:pPr>
              <w:numPr>
                <w:ilvl w:val="0"/>
                <w:numId w:val="30"/>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considers that the circumstances constitute an emergency despite the Supplier not being in breach of its obligations under this agreement;</w:t>
            </w:r>
          </w:p>
          <w:p w:rsidR="00000000" w:rsidDel="00000000" w:rsidP="00000000" w:rsidRDefault="00000000" w:rsidRPr="00000000" w14:paraId="0000023B">
            <w:pPr>
              <w:numPr>
                <w:ilvl w:val="0"/>
                <w:numId w:val="30"/>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being advised by a regulatory body that the exercise by the Buyer of its rights under Clause 13 is necessary;</w:t>
            </w:r>
          </w:p>
          <w:p w:rsidR="00000000" w:rsidDel="00000000" w:rsidP="00000000" w:rsidRDefault="00000000" w:rsidRPr="00000000" w14:paraId="0000023C">
            <w:pPr>
              <w:numPr>
                <w:ilvl w:val="0"/>
                <w:numId w:val="30"/>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existence of a serious risk to the health or safety of persons, property or the environment in connection with the Deliverables; and/or</w:t>
            </w:r>
          </w:p>
          <w:p w:rsidR="00000000" w:rsidDel="00000000" w:rsidP="00000000" w:rsidRDefault="00000000" w:rsidRPr="00000000" w14:paraId="0000023D">
            <w:pPr>
              <w:numPr>
                <w:ilvl w:val="0"/>
                <w:numId w:val="30"/>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need by the Buyer to take action to discharge a statutory duty;</w:t>
            </w:r>
          </w:p>
        </w:tc>
      </w:tr>
      <w:tr>
        <w:trPr>
          <w:cantSplit w:val="0"/>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"Step-Out Plan"</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plan that sets out how the Supplier will resume the provision of the Deliverables and perform all its obligations under this Contract following the completion of the Step-In Process;</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this Contract, pursuant to which a third party:</w:t>
            </w:r>
          </w:p>
          <w:p w:rsidR="00000000" w:rsidDel="00000000" w:rsidP="00000000" w:rsidRDefault="00000000" w:rsidRPr="00000000" w14:paraId="00000244">
            <w:pPr>
              <w:numPr>
                <w:ilvl w:val="0"/>
                <w:numId w:val="24"/>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5">
            <w:pPr>
              <w:numPr>
                <w:ilvl w:val="0"/>
                <w:numId w:val="24"/>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6">
            <w:pPr>
              <w:numPr>
                <w:ilvl w:val="0"/>
                <w:numId w:val="24"/>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the Processor related to this Contract;</w:t>
            </w:r>
          </w:p>
        </w:tc>
      </w:tr>
      <w:tr>
        <w:trPr>
          <w:cantSplit w:val="0"/>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"Subsidiary Undertaking"</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set out in section 1162 of the Companies Act 2006;</w:t>
            </w:r>
          </w:p>
        </w:tc>
      </w:tr>
      <w:tr>
        <w:trPr>
          <w:cantSplit w:val="0"/>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Award Form;</w:t>
            </w:r>
          </w:p>
        </w:tc>
      </w:tr>
      <w:tr>
        <w:trPr>
          <w:cantSplit w:val="0"/>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this Contract but excluding the Buyer Assets;</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Award Form, or later defined in a Contract; </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320"/>
              </w:tabs>
              <w:spacing w:after="120" w:before="120" w:lineRule="auto"/>
              <w:ind w:left="17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Contract;</w:t>
            </w:r>
          </w:p>
        </w:tc>
      </w:tr>
      <w:tr>
        <w:trPr>
          <w:cantSplit w:val="0"/>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Existing IPR"</w:t>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leader="none" w:pos="169"/>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the Supplier and which are or have been developed independently of this Contract (whether prior to the Effective Date or otherwise);</w:t>
            </w:r>
          </w:p>
        </w:tc>
      </w:tr>
      <w:tr>
        <w:trPr>
          <w:cantSplit w:val="0"/>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Existing IPR Licence"</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leader="none" w:pos="169"/>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licence to be offered by the Supplier to the Supplier Existing IPR as set out in Schedule 36 (Intellectual Property Rights);</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Group"</w:t>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leader="none" w:pos="169"/>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 its Dependent Parent Undertakings and all Subsidiary Undertakings and Associates of such Dependent Parent Undertakings;</w:t>
            </w:r>
          </w:p>
        </w:tc>
      </w:tr>
      <w:tr>
        <w:trPr>
          <w:cantSplit w:val="0"/>
          <w:tblHeader w:val="0"/>
        </w:trP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New and Existing IPR Licence"</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leader="none" w:pos="169"/>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licence to be offered by the Supplier to the New IPR and Supplier Existing IPR as set out in Schedule 36 (Intellectual Property Rights); but excluding Buyer Software.</w:t>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leader="none" w:pos="169"/>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5F">
            <w:pPr>
              <w:numPr>
                <w:ilvl w:val="0"/>
                <w:numId w:val="27"/>
              </w:numPr>
              <w:pBdr>
                <w:top w:space="0" w:sz="0" w:val="nil"/>
                <w:left w:space="0" w:sz="0" w:val="nil"/>
                <w:bottom w:space="0" w:sz="0" w:val="nil"/>
                <w:right w:space="0" w:sz="0" w:val="nil"/>
                <w:between w:space="0" w:sz="0" w:val="nil"/>
              </w:pBdr>
              <w:tabs>
                <w:tab w:val="left" w:leader="none" w:pos="169"/>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60">
            <w:pPr>
              <w:numPr>
                <w:ilvl w:val="0"/>
                <w:numId w:val="27"/>
              </w:numPr>
              <w:pBdr>
                <w:top w:space="0" w:sz="0" w:val="nil"/>
                <w:left w:space="0" w:sz="0" w:val="nil"/>
                <w:bottom w:space="0" w:sz="0" w:val="nil"/>
                <w:right w:space="0" w:sz="0" w:val="nil"/>
                <w:between w:space="0" w:sz="0" w:val="nil"/>
              </w:pBdr>
              <w:tabs>
                <w:tab w:val="left" w:leader="none" w:pos="169"/>
              </w:tabs>
              <w:spacing w:after="120" w:before="120" w:lineRule="auto"/>
              <w:ind w:left="720" w:hanging="5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61">
            <w:pPr>
              <w:numPr>
                <w:ilvl w:val="0"/>
                <w:numId w:val="27"/>
              </w:numPr>
              <w:pBdr>
                <w:top w:space="0" w:sz="0" w:val="nil"/>
                <w:left w:space="0" w:sz="0" w:val="nil"/>
                <w:bottom w:space="0" w:sz="0" w:val="nil"/>
                <w:right w:space="0" w:sz="0" w:val="nil"/>
                <w:between w:space="0" w:sz="0" w:val="nil"/>
              </w:pBdr>
              <w:tabs>
                <w:tab w:val="left" w:leader="none" w:pos="169"/>
              </w:tabs>
              <w:spacing w:after="120" w:before="120" w:lineRule="auto"/>
              <w:ind w:left="16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this Contract;</w:t>
            </w:r>
          </w:p>
        </w:tc>
      </w:tr>
      <w:tr>
        <w:trPr>
          <w:cantSplit w:val="0"/>
          <w:tblHeader w:val="0"/>
        </w:trPr>
        <w:tc>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this Contract for the relevant period;</w:t>
            </w:r>
          </w:p>
        </w:tc>
      </w:tr>
      <w:tr>
        <w:trPr>
          <w:cantSplit w:val="0"/>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this Contract;</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System"</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6B">
            <w:pPr>
              <w:numPr>
                <w:ilvl w:val="0"/>
                <w:numId w:val="19"/>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bookmarkStart w:colFirst="0" w:colLast="0" w:name="_heading=h.lnxbz9" w:id="11"/>
            <w:bookmarkEnd w:id="11"/>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6C">
            <w:pPr>
              <w:numPr>
                <w:ilvl w:val="0"/>
                <w:numId w:val="19"/>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bookmarkStart w:colFirst="0" w:colLast="0" w:name="_heading=h.35nkun2" w:id="12"/>
            <w:bookmarkEnd w:id="12"/>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Contract;</w:t>
            </w:r>
          </w:p>
          <w:p w:rsidR="00000000" w:rsidDel="00000000" w:rsidP="00000000" w:rsidRDefault="00000000" w:rsidRPr="00000000" w14:paraId="0000026D">
            <w:pPr>
              <w:numPr>
                <w:ilvl w:val="0"/>
                <w:numId w:val="19"/>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sz w:val="24"/>
                <w:szCs w:val="24"/>
              </w:rPr>
            </w:pPr>
            <w:r w:rsidDel="00000000" w:rsidR="00000000" w:rsidRPr="00000000">
              <w:rPr>
                <w:rFonts w:ascii="Arial" w:cs="Arial" w:eastAsia="Arial" w:hAnsi="Arial"/>
                <w:sz w:val="24"/>
                <w:szCs w:val="24"/>
                <w:rtl w:val="0"/>
              </w:rPr>
              <w:t xml:space="preserve">information</w:t>
            </w:r>
            <w:r w:rsidDel="00000000" w:rsidR="00000000" w:rsidRPr="00000000">
              <w:rPr>
                <w:rFonts w:ascii="Arial" w:cs="Arial" w:eastAsia="Arial" w:hAnsi="Arial"/>
                <w:color w:val="000000"/>
                <w:sz w:val="24"/>
                <w:szCs w:val="24"/>
                <w:rtl w:val="0"/>
              </w:rPr>
              <w:t xml:space="preserve"> derived from any of (a) and (b) above;</w:t>
            </w:r>
            <w:r w:rsidDel="00000000" w:rsidR="00000000" w:rsidRPr="00000000">
              <w:rPr>
                <w:rtl w:val="0"/>
              </w:rPr>
            </w:r>
          </w:p>
        </w:tc>
      </w:tr>
      <w:tr>
        <w:trPr>
          <w:cantSplit w:val="0"/>
          <w:tblHeader w:val="0"/>
        </w:trPr>
        <w:tc>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w:t>
            </w:r>
          </w:p>
        </w:tc>
        <w:tc>
          <w:tcPr/>
          <w:p w:rsidR="00000000" w:rsidDel="00000000" w:rsidP="00000000" w:rsidRDefault="00000000" w:rsidRPr="00000000" w14:paraId="0000026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identified in the Award Form appointed by the Supplier to oversee the operation of this Contract and any alternative person whom the Supplier intends to appoint to the role, provided that the Supplier informs the Buyer prior to the appointment;</w:t>
            </w:r>
          </w:p>
        </w:tc>
      </w:tr>
      <w:tr>
        <w:trPr>
          <w:cantSplit w:val="0"/>
          <w:tblHeader w:val="0"/>
        </w:trPr>
        <w:tc>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"Supply Chain Information Report Template"</w:t>
            </w:r>
          </w:p>
        </w:tc>
        <w:tc>
          <w:tcPr/>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at Annex 1 of Schedule 18 (Supply Chain Visibility);</w:t>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this Contract detailed in the information are properly payable;</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"Tender Response"</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the Buyer and annexed to or referred to in Schedule 4 (Tender);</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Schedule 30 (Exit Management);</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Schedule 30 (Exit Management);</w:t>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this Contract on a specified date and setting out the grounds for termination; </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or Deliverables from their requirements as set out in this Contract;</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82">
            <w:pPr>
              <w:numPr>
                <w:ilvl w:val="0"/>
                <w:numId w:val="31"/>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83">
            <w:pPr>
              <w:numPr>
                <w:ilvl w:val="0"/>
                <w:numId w:val="31"/>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and Testing"</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this Contract as set out in the Test Plan or elsewhere in this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 Licence"</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licence to the Third Party IPR as set out in Paragraph 1.6 of Schedule 36 (Intellectual Property Rights);</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this Contract, including any changes to this Contract agreed from time to time, except for – </w:t>
            </w:r>
          </w:p>
          <w:p w:rsidR="00000000" w:rsidDel="00000000" w:rsidP="00000000" w:rsidRDefault="00000000" w:rsidRPr="00000000" w14:paraId="0000028C">
            <w:pPr>
              <w:numPr>
                <w:ilvl w:val="0"/>
                <w:numId w:val="33"/>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which is exempt from disclosure in accordance with the provisions of the FOIA, which shall be determined by the Buyer; and</w:t>
            </w:r>
          </w:p>
          <w:p w:rsidR="00000000" w:rsidDel="00000000" w:rsidP="00000000" w:rsidRDefault="00000000" w:rsidRPr="00000000" w14:paraId="0000028D">
            <w:pPr>
              <w:numPr>
                <w:ilvl w:val="0"/>
                <w:numId w:val="33"/>
              </w:numPr>
              <w:pBdr>
                <w:top w:space="0" w:sz="0" w:val="nil"/>
                <w:left w:space="0" w:sz="0" w:val="nil"/>
                <w:bottom w:space="0" w:sz="0" w:val="nil"/>
                <w:right w:space="0" w:sz="0" w:val="nil"/>
                <w:between w:space="0" w:sz="0" w:val="nil"/>
              </w:pBdr>
              <w:tabs>
                <w:tab w:val="left" w:leader="none" w:pos="-9"/>
              </w:tabs>
              <w:spacing w:after="120" w:before="120" w:lineRule="auto"/>
              <w:ind w:left="709" w:hanging="53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Commercially Sensitive Information;</w:t>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pursuant to this Contract which the Supplier is required to provide to the Buyer in accordance with the reporting requirements in Schedule 6 (Transparency Reports);</w:t>
            </w:r>
          </w:p>
        </w:tc>
      </w:tr>
      <w:tr>
        <w:trPr>
          <w:cantSplit w:val="0"/>
          <w:tblHeader w:val="0"/>
        </w:trPr>
        <w:tc>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as set out in section 3(10) of the DPA 2018, supplemented by section 205(4) of the DPA 2018;</w:t>
            </w:r>
          </w:p>
        </w:tc>
      </w:tr>
      <w:tr>
        <w:trPr>
          <w:cantSplit w:val="0"/>
          <w:tblHeader w:val="0"/>
        </w:trPr>
        <w:tc>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variation to this Contract;</w:t>
            </w:r>
          </w:p>
        </w:tc>
      </w:tr>
      <w:tr>
        <w:trPr>
          <w:cantSplit w:val="0"/>
          <w:tblHeader w:val="0"/>
        </w:trPr>
        <w:tc>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Schedule 21 (Variation Form);</w:t>
            </w:r>
          </w:p>
        </w:tc>
      </w:tr>
      <w:tr>
        <w:trPr>
          <w:cantSplit w:val="0"/>
          <w:tblHeader w:val="0"/>
        </w:trPr>
        <w:tc>
          <w:tcPr/>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28 (Changing the contract);</w:t>
            </w:r>
          </w:p>
        </w:tc>
      </w:tr>
      <w:tr>
        <w:trPr>
          <w:cantSplit w:val="0"/>
          <w:tblHeader w:val="0"/>
        </w:trPr>
        <w:tc>
          <w:tcPr/>
          <w:p w:rsidR="00000000" w:rsidDel="00000000" w:rsidP="00000000" w:rsidRDefault="00000000" w:rsidRPr="00000000" w14:paraId="00000298">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99">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9A">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"Verification Period"</w:t>
            </w:r>
          </w:p>
        </w:tc>
        <w:tc>
          <w:tcPr/>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table in Annex 2 of Schedule 3 (Charges);</w:t>
            </w:r>
          </w:p>
        </w:tc>
      </w:tr>
      <w:tr>
        <w:trPr>
          <w:cantSplit w:val="0"/>
          <w:tblHeader w:val="0"/>
        </w:trPr>
        <w:tc>
          <w:tcPr/>
          <w:p w:rsidR="00000000" w:rsidDel="00000000" w:rsidP="00000000" w:rsidRDefault="00000000" w:rsidRPr="00000000" w14:paraId="0000029E">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w:t>
            </w:r>
          </w:p>
        </w:tc>
      </w:tr>
      <w:tr>
        <w:trPr>
          <w:cantSplit w:val="0"/>
          <w:tblHeader w:val="0"/>
        </w:trPr>
        <w:tc>
          <w:tcPr/>
          <w:p w:rsidR="00000000" w:rsidDel="00000000" w:rsidP="00000000" w:rsidRDefault="00000000" w:rsidRPr="00000000" w14:paraId="000002A0">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r>
        <w:trPr>
          <w:cantSplit w:val="0"/>
          <w:tblHeader w:val="0"/>
        </w:trPr>
        <w:tc>
          <w:tcPr/>
          <w:p w:rsidR="00000000" w:rsidDel="00000000" w:rsidP="00000000" w:rsidRDefault="00000000" w:rsidRPr="00000000" w14:paraId="000002A2">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trPr>
          <w:cantSplit w:val="0"/>
          <w:tblHeader w:val="0"/>
        </w:trPr>
        <w:tc>
          <w:tcPr/>
          <w:p w:rsidR="00000000" w:rsidDel="00000000" w:rsidP="00000000" w:rsidRDefault="00000000" w:rsidRPr="00000000" w14:paraId="000002A4">
            <w:pPr>
              <w:pBdr>
                <w:top w:space="0" w:sz="0" w:val="nil"/>
                <w:left w:space="0" w:sz="0" w:val="nil"/>
                <w:bottom w:space="0" w:sz="0" w:val="nil"/>
                <w:right w:space="0" w:sz="0" w:val="nil"/>
                <w:between w:space="0" w:sz="0" w:val="nil"/>
              </w:pBdr>
              <w:spacing w:after="120" w:before="120" w:lineRule="auto"/>
              <w:ind w:left="5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left" w:leader="none" w:pos="-9"/>
              </w:tabs>
              <w:spacing w:after="120" w:before="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Award Form. </w:t>
            </w:r>
          </w:p>
        </w:tc>
      </w:tr>
    </w:tbl>
    <w:p w:rsidR="00000000" w:rsidDel="00000000" w:rsidP="00000000" w:rsidRDefault="00000000" w:rsidRPr="00000000" w14:paraId="000002A6">
      <w:pPr>
        <w:spacing w:after="0" w:line="240" w:lineRule="auto"/>
        <w:rPr>
          <w:rFonts w:ascii="Arial" w:cs="Arial" w:eastAsia="Arial" w:hAnsi="Arial"/>
          <w:sz w:val="24"/>
          <w:szCs w:val="24"/>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 w:name="ArialM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tl w:val="0"/>
      </w:rPr>
    </w:r>
  </w:p>
  <w:p w:rsidR="00000000" w:rsidDel="00000000" w:rsidP="00000000" w:rsidRDefault="00000000" w:rsidRPr="00000000" w14:paraId="000002AD">
    <w:pPr>
      <w:tabs>
        <w:tab w:val="right" w:leader="none" w:pos="9026"/>
      </w:tabs>
      <w:spacing w:after="0" w:lineRule="auto"/>
      <w:rPr/>
    </w:pPr>
    <w:r w:rsidDel="00000000" w:rsidR="00000000" w:rsidRPr="00000000">
      <w:rPr>
        <w:rFonts w:ascii="Arial" w:cs="Arial" w:eastAsia="Arial" w:hAnsi="Arial"/>
        <w:color w:val="bfbfbf"/>
        <w:sz w:val="20"/>
        <w:szCs w:val="20"/>
        <w:rtl w:val="0"/>
      </w:rPr>
      <w:t xml:space="preserve">v.1.2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B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2">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bookmarkStart w:colFirst="0" w:colLast="0" w:name="_heading=h.1t3h5sf" w:id="13"/>
    <w:bookmarkEnd w:id="13"/>
    <w:r w:rsidDel="00000000" w:rsidR="00000000" w:rsidRPr="00000000">
      <w:rPr>
        <w:rFonts w:ascii="Arial" w:cs="Arial" w:eastAsia="Arial" w:hAnsi="Arial"/>
        <w:color w:val="000000"/>
        <w:sz w:val="20"/>
        <w:szCs w:val="20"/>
        <w:rtl w:val="0"/>
      </w:rPr>
      <w:t xml:space="preserve">Schedule 1 (Definitions), Crown Copyright 2023, [Subject to Contract]</w:t>
    </w:r>
  </w:p>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3">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
    <w:lvl w:ilvl="0">
      <w:start w:val="1"/>
      <w:numFmt w:val="lowerLetter"/>
      <w:lvlText w:val="(%1)"/>
      <w:lvlJc w:val="left"/>
      <w:pPr>
        <w:ind w:left="964" w:hanging="794"/>
      </w:pPr>
      <w:rPr>
        <w:rFonts w:ascii="Arial" w:cs="Arial" w:eastAsia="Arial" w:hAnsi="Arial"/>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5">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b w:val="0"/>
        <w:i w:val="0"/>
        <w:smallCaps w:val="0"/>
        <w:strike w:val="0"/>
        <w:color w:val="000000"/>
        <w:u w:val="none"/>
        <w:vertAlign w:val="baseline"/>
      </w:rPr>
    </w:lvl>
    <w:lvl w:ilvl="3">
      <w:start w:val="1"/>
      <w:numFmt w:val="lowerLetter"/>
      <w:lvlText w:val="(%4)"/>
      <w:lvlJc w:val="left"/>
      <w:pPr>
        <w:ind w:left="2606" w:hanging="848"/>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7">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8">
    <w:lvl w:ilvl="0">
      <w:start w:val="1"/>
      <w:numFmt w:val="lowerLetter"/>
      <w:lvlText w:val="(%1)"/>
      <w:lvlJc w:val="left"/>
      <w:pPr>
        <w:ind w:left="964" w:hanging="794"/>
      </w:pPr>
      <w:rPr>
        <w:rFonts w:ascii="Arial" w:cs="Arial" w:eastAsia="Arial" w:hAnsi="Arial"/>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9">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b w:val="0"/>
        <w:i w:val="0"/>
        <w:smallCaps w:val="0"/>
        <w:strike w:val="0"/>
        <w:color w:val="000000"/>
        <w:u w:val="none"/>
        <w:vertAlign w:val="baseline"/>
      </w:rPr>
    </w:lvl>
    <w:lvl w:ilvl="3">
      <w:start w:val="1"/>
      <w:numFmt w:val="lowerLetter"/>
      <w:lvlText w:val="(%4)"/>
      <w:lvlJc w:val="left"/>
      <w:pPr>
        <w:ind w:left="2606" w:hanging="848"/>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2835" w:hanging="56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0">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b w:val="0"/>
        <w:i w:val="0"/>
        <w:smallCaps w:val="0"/>
        <w:strike w:val="0"/>
        <w:color w:val="000000"/>
        <w:u w:val="none"/>
        <w:vertAlign w:val="baseline"/>
      </w:rPr>
    </w:lvl>
    <w:lvl w:ilvl="3">
      <w:start w:val="1"/>
      <w:numFmt w:val="lowerLetter"/>
      <w:lvlText w:val="(%4)"/>
      <w:lvlJc w:val="left"/>
      <w:pPr>
        <w:ind w:left="2606" w:hanging="848"/>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1">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2">
    <w:lvl w:ilvl="0">
      <w:start w:val="1"/>
      <w:numFmt w:val="lowerLetter"/>
      <w:lvlText w:val="(%1)"/>
      <w:lvlJc w:val="left"/>
      <w:pPr>
        <w:ind w:left="964" w:hanging="794"/>
      </w:pPr>
      <w:rPr>
        <w:rFonts w:ascii="Arial" w:cs="Arial" w:eastAsia="Arial" w:hAnsi="Arial"/>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3">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4">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5">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b w:val="0"/>
        <w:i w:val="0"/>
        <w:smallCaps w:val="0"/>
        <w:strike w:val="0"/>
        <w:color w:val="000000"/>
        <w:u w:val="none"/>
        <w:vertAlign w:val="baseline"/>
      </w:rPr>
    </w:lvl>
    <w:lvl w:ilvl="3">
      <w:start w:val="1"/>
      <w:numFmt w:val="lowerLetter"/>
      <w:lvlText w:val="(%4)"/>
      <w:lvlJc w:val="left"/>
      <w:pPr>
        <w:ind w:left="2606" w:hanging="848"/>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7">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b w:val="0"/>
        <w:i w:val="0"/>
        <w:smallCaps w:val="0"/>
        <w:strike w:val="0"/>
        <w:color w:val="000000"/>
        <w:u w:val="none"/>
        <w:vertAlign w:val="baseline"/>
      </w:rPr>
    </w:lvl>
    <w:lvl w:ilvl="3">
      <w:start w:val="1"/>
      <w:numFmt w:val="lowerLetter"/>
      <w:lvlText w:val="(%4)"/>
      <w:lvlJc w:val="left"/>
      <w:pPr>
        <w:ind w:left="2606" w:hanging="848"/>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rFonts w:ascii="Arial" w:cs="Arial" w:eastAsia="Arial" w:hAnsi="Arial"/>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8">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19">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0">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1">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2">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3">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4">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5">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6">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7">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8">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9">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30">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1">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2">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33">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4">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5">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6">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7">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38">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39">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0">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b w:val="0"/>
        <w:i w:val="0"/>
        <w:smallCaps w:val="0"/>
        <w:strike w:val="0"/>
        <w:color w:val="000000"/>
        <w:u w:val="none"/>
        <w:vertAlign w:val="baseline"/>
      </w:rPr>
    </w:lvl>
    <w:lvl w:ilvl="3">
      <w:start w:val="1"/>
      <w:numFmt w:val="lowerLetter"/>
      <w:lvlText w:val="(%4)"/>
      <w:lvlJc w:val="left"/>
      <w:pPr>
        <w:ind w:left="2606" w:hanging="848"/>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b w:val="0"/>
        <w:i w:val="0"/>
        <w:smallCaps w:val="0"/>
        <w:strike w:val="0"/>
        <w:color w:val="000000"/>
        <w:u w:val="none"/>
        <w:vertAlign w:val="baseline"/>
      </w:rPr>
    </w:lvl>
    <w:lvl w:ilvl="3">
      <w:start w:val="1"/>
      <w:numFmt w:val="lowerLetter"/>
      <w:lvlText w:val="(%4)"/>
      <w:lvlJc w:val="left"/>
      <w:pPr>
        <w:ind w:left="2606" w:hanging="848"/>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2835" w:hanging="56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b w:val="0"/>
        <w:i w:val="0"/>
        <w:smallCaps w:val="0"/>
        <w:strike w:val="0"/>
        <w:color w:val="000000"/>
        <w:u w:val="none"/>
        <w:vertAlign w:val="baseline"/>
      </w:rPr>
    </w:lvl>
    <w:lvl w:ilvl="3">
      <w:start w:val="1"/>
      <w:numFmt w:val="lowerLetter"/>
      <w:lvlText w:val="(%4)"/>
      <w:lvlJc w:val="left"/>
      <w:pPr>
        <w:ind w:left="2606" w:hanging="848"/>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4">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5">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rsid w:val="000B2970"/>
    <w:pPr>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rsid w:val="009A3E14"/>
    <w:pPr>
      <w:keepNext w:val="1"/>
      <w:numPr>
        <w:numId w:val="5"/>
      </w:numPr>
      <w:tabs>
        <w:tab w:val="left" w:pos="0"/>
      </w:tabs>
      <w:adjustRightInd w:val="0"/>
      <w:spacing w:after="240" w:before="120" w:line="240" w:lineRule="auto"/>
      <w:outlineLvl w:val="1"/>
    </w:pPr>
    <w:rPr>
      <w:rFonts w:ascii="Arial Bold" w:cs="Arial" w:eastAsia="STZhongsong" w:hAnsi="Arial Bold"/>
      <w:b w:val="1"/>
      <w:sz w:val="24"/>
      <w:lang w:eastAsia="zh-CN"/>
    </w:rPr>
  </w:style>
  <w:style w:type="paragraph" w:styleId="GPSL2numberedclause" w:customStyle="1">
    <w:name w:val="GPS L2 numbered clause"/>
    <w:basedOn w:val="Normal"/>
    <w:link w:val="GPSL2numberedclauseChar1"/>
    <w:qFormat w:val="1"/>
    <w:rsid w:val="009A3E14"/>
    <w:pPr>
      <w:numPr>
        <w:ilvl w:val="1"/>
        <w:numId w:val="5"/>
      </w:numPr>
      <w:adjustRightInd w:val="0"/>
      <w:spacing w:after="120" w:before="120" w:line="240" w:lineRule="auto"/>
    </w:pPr>
    <w:rPr>
      <w:rFonts w:ascii="Arial" w:cs="Arial" w:eastAsia="Times New Roman" w:hAnsi="Arial"/>
      <w:sz w:val="24"/>
      <w:lang w:eastAsia="zh-CN"/>
    </w:rPr>
  </w:style>
  <w:style w:type="paragraph" w:styleId="GPSL3numberedclause" w:customStyle="1">
    <w:name w:val="GPS L3 numbered clause"/>
    <w:basedOn w:val="GPSL2numberedclause"/>
    <w:link w:val="GPSL3numberedclauseChar"/>
    <w:qFormat w:val="1"/>
    <w:rsid w:val="009A3E14"/>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Arial" w:cs="Arial" w:eastAsia="Times New Roman" w:hAnsi="Arial"/>
      <w:sz w:val="24"/>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pPr>
  </w:style>
  <w:style w:type="character" w:styleId="GPSL3numberedclauseChar" w:customStyle="1">
    <w:name w:val="GPS L3 numbered clause Char"/>
    <w:link w:val="GPSL3numberedclause"/>
    <w:rsid w:val="009A3E14"/>
    <w:rPr>
      <w:rFonts w:ascii="Arial" w:cs="Arial" w:eastAsia="Times New Roman" w:hAnsi="Arial"/>
      <w:sz w:val="24"/>
      <w:lang w:eastAsia="zh-CN"/>
    </w:rPr>
  </w:style>
  <w:style w:type="paragraph" w:styleId="ORDERFORML1PraraNo" w:customStyle="1">
    <w:name w:val="ORDER FORM L1 Prara No"/>
    <w:basedOn w:val="Normal"/>
    <w:qFormat w:val="1"/>
    <w:pPr>
      <w:numPr>
        <w:numId w:val="6"/>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6"/>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sid w:val="009A3E14"/>
    <w:rPr>
      <w:rFonts w:ascii="Arial" w:cs="Arial" w:eastAsia="Times New Roman" w:hAnsi="Arial"/>
      <w:sz w:val="24"/>
      <w:lang w:eastAsia="zh-CN"/>
    </w:rPr>
  </w:style>
  <w:style w:type="character" w:styleId="GPSL5numberedclauseChar" w:customStyle="1">
    <w:name w:val="GPS L5 numbered clause Char"/>
    <w:link w:val="GPSL5numberedclause"/>
    <w:rPr>
      <w:rFonts w:ascii="Arial" w:cs="Arial" w:eastAsia="Times New Roman" w:hAnsi="Arial"/>
      <w:sz w:val="24"/>
      <w:szCs w:val="20"/>
      <w:lang w:eastAsia="zh-CN"/>
    </w:rPr>
  </w:style>
  <w:style w:type="paragraph" w:styleId="BodyTextIndent">
    <w:name w:val="Body Text Indent"/>
    <w:basedOn w:val="Normal"/>
    <w:link w:val="BodyTextIndentChar"/>
    <w:qFormat w:val="1"/>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FollowedHyperlink">
    <w:name w:val="FollowedHyperlink"/>
    <w:basedOn w:val="DefaultParagraphFont"/>
    <w:uiPriority w:val="99"/>
    <w:semiHidden w:val="1"/>
    <w:unhideWhenUsed w:val="1"/>
    <w:rsid w:val="008F6831"/>
    <w:rPr>
      <w:color w:val="800080" w:themeColor="followedHyperlink"/>
      <w:u w:val="single"/>
    </w:rPr>
  </w:style>
  <w:style w:type="paragraph" w:styleId="BodyTextIndent2">
    <w:name w:val="Body Text Indent 2"/>
    <w:basedOn w:val="Normal"/>
    <w:link w:val="BodyTextIndent2Char"/>
    <w:qFormat w:val="1"/>
    <w:rsid w:val="00655AE9"/>
    <w:pPr>
      <w:tabs>
        <w:tab w:val="num" w:pos="720"/>
      </w:tabs>
      <w:adjustRightInd w:val="0"/>
      <w:spacing w:after="240" w:line="240" w:lineRule="auto"/>
      <w:ind w:left="720"/>
      <w:jc w:val="both"/>
    </w:pPr>
    <w:rPr>
      <w:rFonts w:ascii="Times New Roman" w:cs="Times New Roman" w:eastAsia="STZhongsong" w:hAnsi="Times New Roman"/>
      <w:szCs w:val="20"/>
      <w:lang w:eastAsia="zh-CN"/>
    </w:rPr>
  </w:style>
  <w:style w:type="character" w:styleId="BodyTextIndent2Char" w:customStyle="1">
    <w:name w:val="Body Text Indent 2 Char"/>
    <w:basedOn w:val="DefaultParagraphFont"/>
    <w:link w:val="BodyTextIndent2"/>
    <w:rsid w:val="00655AE9"/>
    <w:rPr>
      <w:rFonts w:ascii="Times New Roman" w:cs="Times New Roman" w:eastAsia="STZhongsong" w:hAnsi="Times New Roman"/>
      <w:szCs w:val="20"/>
      <w:lang w:eastAsia="zh-CN"/>
    </w:rPr>
  </w:style>
  <w:style w:type="paragraph" w:styleId="DefinitionNumbering1" w:customStyle="1">
    <w:name w:val="Definition Numbering 1"/>
    <w:basedOn w:val="Normal"/>
    <w:qFormat w:val="1"/>
    <w:rsid w:val="00655AE9"/>
    <w:pPr>
      <w:tabs>
        <w:tab w:val="num" w:pos="1440"/>
      </w:tabs>
      <w:adjustRightInd w:val="0"/>
      <w:spacing w:after="240" w:line="240" w:lineRule="auto"/>
      <w:ind w:left="1440" w:hanging="720"/>
      <w:jc w:val="both"/>
      <w:outlineLvl w:val="0"/>
    </w:pPr>
    <w:rPr>
      <w:rFonts w:ascii="Times New Roman" w:cs="Times New Roman" w:eastAsia="STZhongsong" w:hAnsi="Times New Roman"/>
      <w:szCs w:val="20"/>
      <w:lang w:eastAsia="zh-CN"/>
    </w:rPr>
  </w:style>
  <w:style w:type="paragraph" w:styleId="DefinitionNumbering2" w:customStyle="1">
    <w:name w:val="Definition Numbering 2"/>
    <w:basedOn w:val="Normal"/>
    <w:qFormat w:val="1"/>
    <w:rsid w:val="00655AE9"/>
    <w:pPr>
      <w:tabs>
        <w:tab w:val="num" w:pos="2160"/>
      </w:tabs>
      <w:adjustRightInd w:val="0"/>
      <w:spacing w:after="240" w:line="240" w:lineRule="auto"/>
      <w:ind w:left="2160" w:hanging="720"/>
      <w:jc w:val="both"/>
      <w:outlineLvl w:val="1"/>
    </w:pPr>
    <w:rPr>
      <w:rFonts w:ascii="Times New Roman" w:cs="Times New Roman" w:eastAsia="STZhongsong" w:hAnsi="Times New Roman"/>
      <w:szCs w:val="20"/>
      <w:lang w:eastAsia="zh-CN"/>
    </w:rPr>
  </w:style>
  <w:style w:type="paragraph" w:styleId="DefinitionNumbering3" w:customStyle="1">
    <w:name w:val="Definition Numbering 3"/>
    <w:basedOn w:val="Normal"/>
    <w:qFormat w:val="1"/>
    <w:rsid w:val="00655AE9"/>
    <w:pPr>
      <w:tabs>
        <w:tab w:val="num" w:pos="2880"/>
      </w:tabs>
      <w:adjustRightInd w:val="0"/>
      <w:spacing w:after="240" w:line="240" w:lineRule="auto"/>
      <w:ind w:left="2880" w:hanging="720"/>
      <w:jc w:val="both"/>
      <w:outlineLvl w:val="2"/>
    </w:pPr>
    <w:rPr>
      <w:rFonts w:ascii="Times New Roman" w:cs="Times New Roman" w:eastAsia="STZhongsong" w:hAnsi="Times New Roman"/>
      <w:szCs w:val="20"/>
      <w:lang w:eastAsia="zh-CN"/>
    </w:rPr>
  </w:style>
  <w:style w:type="paragraph" w:styleId="DefinitionNumbering4" w:customStyle="1">
    <w:name w:val="Definition Numbering 4"/>
    <w:basedOn w:val="Normal"/>
    <w:rsid w:val="00655AE9"/>
    <w:pPr>
      <w:tabs>
        <w:tab w:val="num" w:pos="2880"/>
      </w:tabs>
      <w:adjustRightInd w:val="0"/>
      <w:spacing w:after="240" w:line="240" w:lineRule="auto"/>
      <w:ind w:left="2880" w:hanging="720"/>
      <w:jc w:val="both"/>
      <w:outlineLvl w:val="3"/>
    </w:pPr>
    <w:rPr>
      <w:rFonts w:ascii="Times New Roman" w:cs="Times New Roman" w:eastAsia="STZhongsong" w:hAnsi="Times New Roman"/>
      <w:szCs w:val="20"/>
      <w:lang w:eastAsia="zh-CN"/>
    </w:rPr>
  </w:style>
  <w:style w:type="paragraph" w:styleId="DefinitionNumbering5" w:customStyle="1">
    <w:name w:val="Definition Numbering 5"/>
    <w:basedOn w:val="Normal"/>
    <w:rsid w:val="00655AE9"/>
    <w:pPr>
      <w:tabs>
        <w:tab w:val="num" w:pos="2880"/>
      </w:tabs>
      <w:adjustRightInd w:val="0"/>
      <w:spacing w:after="240" w:line="240" w:lineRule="auto"/>
      <w:ind w:left="2880" w:hanging="720"/>
      <w:jc w:val="both"/>
      <w:outlineLvl w:val="4"/>
    </w:pPr>
    <w:rPr>
      <w:rFonts w:ascii="Times New Roman" w:cs="Times New Roman" w:eastAsia="STZhongsong" w:hAnsi="Times New Roman"/>
      <w:szCs w:val="20"/>
      <w:lang w:eastAsia="zh-CN"/>
    </w:rPr>
  </w:style>
  <w:style w:type="paragraph" w:styleId="DefinitionNumbering6" w:customStyle="1">
    <w:name w:val="Definition Numbering 6"/>
    <w:basedOn w:val="Normal"/>
    <w:rsid w:val="00655AE9"/>
    <w:pPr>
      <w:tabs>
        <w:tab w:val="num" w:pos="2880"/>
      </w:tabs>
      <w:adjustRightInd w:val="0"/>
      <w:spacing w:after="240" w:line="240" w:lineRule="auto"/>
      <w:ind w:left="2880" w:hanging="720"/>
      <w:jc w:val="both"/>
      <w:outlineLvl w:val="5"/>
    </w:pPr>
    <w:rPr>
      <w:rFonts w:ascii="Times New Roman" w:cs="Times New Roman" w:eastAsia="STZhongsong" w:hAnsi="Times New Roman"/>
      <w:szCs w:val="20"/>
      <w:lang w:eastAsia="zh-CN"/>
    </w:rPr>
  </w:style>
  <w:style w:type="paragraph" w:styleId="DefinitionNumbering7" w:customStyle="1">
    <w:name w:val="Definition Numbering 7"/>
    <w:basedOn w:val="Normal"/>
    <w:rsid w:val="00655AE9"/>
    <w:pPr>
      <w:tabs>
        <w:tab w:val="num" w:pos="2880"/>
      </w:tabs>
      <w:adjustRightInd w:val="0"/>
      <w:spacing w:after="240" w:line="240" w:lineRule="auto"/>
      <w:ind w:left="2880" w:hanging="720"/>
      <w:jc w:val="both"/>
      <w:outlineLvl w:val="6"/>
    </w:pPr>
    <w:rPr>
      <w:rFonts w:ascii="Times New Roman" w:cs="Times New Roman" w:eastAsia="STZhongsong" w:hAnsi="Times New Roman"/>
      <w:szCs w:val="20"/>
      <w:lang w:eastAsia="zh-CN"/>
    </w:rPr>
  </w:style>
  <w:style w:type="paragraph" w:styleId="AppHead" w:customStyle="1">
    <w:name w:val="AppHead"/>
    <w:basedOn w:val="Normal"/>
    <w:qFormat w:val="1"/>
    <w:rsid w:val="003D2819"/>
    <w:pPr>
      <w:numPr>
        <w:numId w:val="21"/>
      </w:numPr>
      <w:adjustRightInd w:val="0"/>
      <w:spacing w:after="240" w:line="240" w:lineRule="auto"/>
      <w:jc w:val="center"/>
      <w:outlineLvl w:val="0"/>
    </w:pPr>
    <w:rPr>
      <w:rFonts w:ascii="Times New Roman" w:cs="Times New Roman" w:eastAsia="STZhongsong" w:hAnsi="Times New Roman"/>
      <w:b w:val="1"/>
      <w:caps w:val="1"/>
      <w:szCs w:val="20"/>
      <w:lang w:eastAsia="zh-CN"/>
    </w:rPr>
  </w:style>
  <w:style w:type="paragraph" w:styleId="AppPart" w:customStyle="1">
    <w:name w:val="AppPart"/>
    <w:basedOn w:val="Normal"/>
    <w:qFormat w:val="1"/>
    <w:rsid w:val="003D2819"/>
    <w:pPr>
      <w:keepNext w:val="1"/>
      <w:numPr>
        <w:ilvl w:val="1"/>
        <w:numId w:val="21"/>
      </w:numPr>
      <w:adjustRightInd w:val="0"/>
      <w:spacing w:after="240" w:line="240" w:lineRule="auto"/>
      <w:jc w:val="center"/>
      <w:outlineLvl w:val="1"/>
    </w:pPr>
    <w:rPr>
      <w:rFonts w:ascii="Times New Roman" w:cs="Times New Roman" w:eastAsia="STZhongsong" w:hAnsi="Times New Roman"/>
      <w:b w:val="1"/>
      <w:szCs w:val="20"/>
      <w:lang w:eastAsia="zh-CN"/>
    </w:rPr>
  </w:style>
  <w:style w:type="paragraph" w:styleId="ListBullet1" w:customStyle="1">
    <w:name w:val="List Bullet 1"/>
    <w:basedOn w:val="Normal"/>
    <w:rsid w:val="000A0663"/>
    <w:pPr>
      <w:numPr>
        <w:numId w:val="22"/>
      </w:numPr>
      <w:adjustRightInd w:val="0"/>
      <w:spacing w:after="240" w:line="240" w:lineRule="auto"/>
      <w:jc w:val="both"/>
    </w:pPr>
    <w:rPr>
      <w:rFonts w:ascii="Times New Roman" w:cs="Times New Roman" w:eastAsia="STZhongsong" w:hAnsi="Times New Roman"/>
      <w:szCs w:val="20"/>
      <w:lang w:eastAsia="zh-CN"/>
    </w:rPr>
  </w:style>
  <w:style w:type="paragraph" w:styleId="ListBullet2">
    <w:name w:val="List Bullet 2"/>
    <w:basedOn w:val="Normal"/>
    <w:rsid w:val="000A0663"/>
    <w:pPr>
      <w:numPr>
        <w:ilvl w:val="1"/>
        <w:numId w:val="22"/>
      </w:numPr>
      <w:adjustRightInd w:val="0"/>
      <w:spacing w:after="240" w:line="240" w:lineRule="auto"/>
      <w:jc w:val="both"/>
    </w:pPr>
    <w:rPr>
      <w:rFonts w:ascii="Times New Roman" w:cs="Times New Roman" w:eastAsia="STZhongsong" w:hAnsi="Times New Roman"/>
      <w:szCs w:val="20"/>
      <w:lang w:eastAsia="zh-CN"/>
    </w:rPr>
  </w:style>
  <w:style w:type="paragraph" w:styleId="ListBullet3">
    <w:name w:val="List Bullet 3"/>
    <w:basedOn w:val="Normal"/>
    <w:rsid w:val="000A0663"/>
    <w:pPr>
      <w:numPr>
        <w:ilvl w:val="2"/>
        <w:numId w:val="22"/>
      </w:numPr>
      <w:adjustRightInd w:val="0"/>
      <w:spacing w:after="240" w:line="240" w:lineRule="auto"/>
      <w:jc w:val="both"/>
    </w:pPr>
    <w:rPr>
      <w:rFonts w:ascii="Times New Roman" w:cs="Times New Roman" w:eastAsia="STZhongsong" w:hAnsi="Times New Roman"/>
      <w:szCs w:val="20"/>
      <w:lang w:eastAsia="zh-CN"/>
    </w:rPr>
  </w:style>
  <w:style w:type="paragraph" w:styleId="ListBullet4">
    <w:name w:val="List Bullet 4"/>
    <w:basedOn w:val="Normal"/>
    <w:rsid w:val="000A0663"/>
    <w:pPr>
      <w:numPr>
        <w:ilvl w:val="3"/>
        <w:numId w:val="22"/>
      </w:numPr>
      <w:adjustRightInd w:val="0"/>
      <w:spacing w:after="240" w:line="240" w:lineRule="auto"/>
      <w:jc w:val="both"/>
    </w:pPr>
    <w:rPr>
      <w:rFonts w:ascii="Times New Roman" w:cs="Times New Roman" w:eastAsia="STZhongsong" w:hAnsi="Times New Roman"/>
      <w:szCs w:val="20"/>
      <w:lang w:eastAsia="zh-CN"/>
    </w:rPr>
  </w:style>
  <w:style w:type="paragraph" w:styleId="ListBullet5">
    <w:name w:val="List Bullet 5"/>
    <w:basedOn w:val="Normal"/>
    <w:rsid w:val="000A0663"/>
    <w:pPr>
      <w:numPr>
        <w:ilvl w:val="4"/>
        <w:numId w:val="22"/>
      </w:numPr>
      <w:adjustRightInd w:val="0"/>
      <w:spacing w:after="240" w:line="240" w:lineRule="auto"/>
      <w:jc w:val="both"/>
    </w:pPr>
    <w:rPr>
      <w:rFonts w:ascii="Times New Roman" w:cs="Times New Roman" w:eastAsia="STZhongsong" w:hAnsi="Times New Roman"/>
      <w:szCs w:val="20"/>
      <w:lang w:eastAsia="zh-CN"/>
    </w:rPr>
  </w:style>
  <w:style w:type="paragraph" w:styleId="ListBullet6" w:customStyle="1">
    <w:name w:val="List Bullet 6"/>
    <w:basedOn w:val="Normal"/>
    <w:rsid w:val="000A0663"/>
    <w:pPr>
      <w:numPr>
        <w:ilvl w:val="5"/>
        <w:numId w:val="22"/>
      </w:numPr>
      <w:adjustRightInd w:val="0"/>
      <w:spacing w:after="240" w:line="240" w:lineRule="auto"/>
      <w:jc w:val="both"/>
    </w:pPr>
    <w:rPr>
      <w:rFonts w:ascii="Times New Roman" w:cs="Times New Roman" w:eastAsia="STZhongsong" w:hAnsi="Times New Roman"/>
      <w:szCs w:val="20"/>
      <w:lang w:eastAsia="zh-CN"/>
    </w:rPr>
  </w:style>
  <w:style w:type="paragraph" w:styleId="ListBullet7" w:customStyle="1">
    <w:name w:val="List Bullet 7"/>
    <w:basedOn w:val="Normal"/>
    <w:rsid w:val="000A0663"/>
    <w:pPr>
      <w:numPr>
        <w:ilvl w:val="6"/>
        <w:numId w:val="22"/>
      </w:numPr>
      <w:adjustRightInd w:val="0"/>
      <w:spacing w:after="240" w:line="240" w:lineRule="auto"/>
      <w:jc w:val="both"/>
    </w:pPr>
    <w:rPr>
      <w:rFonts w:ascii="Times New Roman" w:cs="Times New Roman" w:eastAsia="STZhongsong" w:hAnsi="Times New Roman"/>
      <w:szCs w:val="20"/>
      <w:lang w:eastAsia="zh-CN"/>
    </w:rPr>
  </w:style>
  <w:style w:type="paragraph" w:styleId="ListBullet8" w:customStyle="1">
    <w:name w:val="List Bullet 8"/>
    <w:basedOn w:val="Normal"/>
    <w:rsid w:val="000A0663"/>
    <w:pPr>
      <w:numPr>
        <w:ilvl w:val="7"/>
        <w:numId w:val="22"/>
      </w:numPr>
      <w:adjustRightInd w:val="0"/>
      <w:spacing w:after="240" w:line="240" w:lineRule="auto"/>
      <w:jc w:val="both"/>
    </w:pPr>
    <w:rPr>
      <w:rFonts w:ascii="Times New Roman" w:cs="Times New Roman" w:eastAsia="STZhongsong" w:hAnsi="Times New Roman"/>
      <w:szCs w:val="20"/>
      <w:lang w:eastAsia="zh-CN"/>
    </w:rPr>
  </w:style>
  <w:style w:type="paragraph" w:styleId="ListBullet9" w:customStyle="1">
    <w:name w:val="List Bullet 9"/>
    <w:basedOn w:val="Normal"/>
    <w:rsid w:val="000A0663"/>
    <w:pPr>
      <w:numPr>
        <w:ilvl w:val="8"/>
        <w:numId w:val="22"/>
      </w:numPr>
      <w:adjustRightInd w:val="0"/>
      <w:spacing w:after="240" w:line="240" w:lineRule="auto"/>
      <w:jc w:val="both"/>
    </w:pPr>
    <w:rPr>
      <w:rFonts w:ascii="Times New Roman" w:cs="Times New Roman" w:eastAsia="STZhongsong" w:hAnsi="Times New Roman"/>
      <w:szCs w:val="20"/>
      <w:lang w:eastAsia="zh-CN"/>
    </w:rPr>
  </w:style>
  <w:style w:type="paragraph" w:styleId="TOC6">
    <w:name w:val="toc 6"/>
    <w:semiHidden w:val="1"/>
    <w:rsid w:val="007C2614"/>
    <w:pPr>
      <w:tabs>
        <w:tab w:val="left" w:pos="4320"/>
        <w:tab w:val="right" w:leader="dot" w:pos="9029"/>
      </w:tabs>
      <w:adjustRightInd w:val="0"/>
      <w:spacing w:after="120" w:line="240" w:lineRule="auto"/>
      <w:ind w:left="4320" w:hanging="720"/>
    </w:pPr>
    <w:rPr>
      <w:rFonts w:ascii="Times New Roman" w:cs="Times New Roman" w:eastAsia="STZhongsong" w:hAnsi="Times New Roman"/>
      <w:szCs w:val="20"/>
      <w:lang w:eastAsia="zh-CN"/>
    </w:rPr>
  </w:style>
  <w:style w:type="paragraph" w:styleId="TOC7">
    <w:name w:val="toc 7"/>
    <w:semiHidden w:val="1"/>
    <w:rsid w:val="007C2614"/>
    <w:pPr>
      <w:tabs>
        <w:tab w:val="left" w:pos="5040"/>
        <w:tab w:val="right" w:leader="dot" w:pos="9029"/>
      </w:tabs>
      <w:adjustRightInd w:val="0"/>
      <w:spacing w:after="120" w:line="240" w:lineRule="auto"/>
      <w:ind w:left="5040" w:hanging="720"/>
    </w:pPr>
    <w:rPr>
      <w:rFonts w:ascii="Times New Roman" w:cs="Times New Roman" w:eastAsia="STZhongsong" w:hAnsi="Times New Roman"/>
      <w:szCs w:val="20"/>
      <w:lang w:eastAsia="zh-CN"/>
    </w:rPr>
  </w:style>
  <w:style w:type="paragraph" w:styleId="ScheduleL1" w:customStyle="1">
    <w:name w:val="Schedule L1"/>
    <w:basedOn w:val="Normal"/>
    <w:qFormat w:val="1"/>
    <w:rsid w:val="007C2614"/>
    <w:pPr>
      <w:keepNext w:val="1"/>
      <w:numPr>
        <w:numId w:val="23"/>
      </w:numPr>
      <w:adjustRightInd w:val="0"/>
      <w:spacing w:after="240" w:line="240" w:lineRule="auto"/>
      <w:jc w:val="both"/>
      <w:outlineLvl w:val="0"/>
    </w:pPr>
    <w:rPr>
      <w:rFonts w:ascii="Times New Roman" w:cs="Times New Roman" w:eastAsia="STZhongsong" w:hAnsi="Times New Roman"/>
      <w:b w:val="1"/>
      <w:bCs w:val="1"/>
      <w:szCs w:val="20"/>
      <w:lang w:eastAsia="zh-CN"/>
    </w:rPr>
  </w:style>
  <w:style w:type="paragraph" w:styleId="ScheduleL2" w:customStyle="1">
    <w:name w:val="Schedule L2"/>
    <w:basedOn w:val="Normal"/>
    <w:qFormat w:val="1"/>
    <w:rsid w:val="007C2614"/>
    <w:pPr>
      <w:numPr>
        <w:ilvl w:val="1"/>
        <w:numId w:val="2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qFormat w:val="1"/>
    <w:rsid w:val="007C2614"/>
    <w:pPr>
      <w:numPr>
        <w:ilvl w:val="2"/>
        <w:numId w:val="2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qFormat w:val="1"/>
    <w:rsid w:val="007C2614"/>
    <w:pPr>
      <w:numPr>
        <w:ilvl w:val="3"/>
        <w:numId w:val="2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qFormat w:val="1"/>
    <w:rsid w:val="007C2614"/>
    <w:pPr>
      <w:numPr>
        <w:ilvl w:val="4"/>
        <w:numId w:val="2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qFormat w:val="1"/>
    <w:rsid w:val="007C2614"/>
    <w:pPr>
      <w:numPr>
        <w:ilvl w:val="5"/>
        <w:numId w:val="2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qFormat w:val="1"/>
    <w:rsid w:val="007C2614"/>
    <w:pPr>
      <w:numPr>
        <w:ilvl w:val="6"/>
        <w:numId w:val="2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qFormat w:val="1"/>
    <w:rsid w:val="007C2614"/>
    <w:pPr>
      <w:numPr>
        <w:ilvl w:val="7"/>
        <w:numId w:val="2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qFormat w:val="1"/>
    <w:rsid w:val="007C2614"/>
    <w:pPr>
      <w:numPr>
        <w:ilvl w:val="8"/>
        <w:numId w:val="23"/>
      </w:numPr>
      <w:adjustRightInd w:val="0"/>
      <w:spacing w:after="240" w:line="240" w:lineRule="auto"/>
      <w:jc w:val="both"/>
      <w:outlineLvl w:val="8"/>
    </w:pPr>
    <w:rPr>
      <w:rFonts w:ascii="Times New Roman" w:cs="Times New Roman" w:eastAsia="STZhongsong" w:hAnsi="Times New Roman"/>
      <w:szCs w:val="20"/>
      <w:lang w:eastAsia="zh-CN"/>
    </w:rPr>
  </w:style>
  <w:style w:type="paragraph" w:styleId="StdBodyTextBold" w:customStyle="1">
    <w:name w:val="Std Body Text Bold"/>
    <w:basedOn w:val="Normal"/>
    <w:next w:val="Normal"/>
    <w:link w:val="StdBodyTextBoldChar"/>
    <w:qFormat w:val="1"/>
    <w:rsid w:val="007B3D68"/>
    <w:pPr>
      <w:spacing w:before="100" w:line="240" w:lineRule="auto"/>
    </w:pPr>
    <w:rPr>
      <w:rFonts w:ascii="Arial" w:cs="Times New Roman" w:eastAsia="Times New Roman" w:hAnsi="Arial"/>
      <w:b w:val="1"/>
      <w:sz w:val="24"/>
      <w:szCs w:val="24"/>
    </w:rPr>
  </w:style>
  <w:style w:type="character" w:styleId="StdBodyTextBoldChar" w:customStyle="1">
    <w:name w:val="Std Body Text Bold Char"/>
    <w:basedOn w:val="DefaultParagraphFont"/>
    <w:link w:val="StdBodyTextBold"/>
    <w:rsid w:val="007B3D68"/>
    <w:rPr>
      <w:rFonts w:ascii="Arial" w:cs="Times New Roman" w:eastAsia="Times New Roman" w:hAnsi="Arial"/>
      <w:b w:val="1"/>
      <w:sz w:val="24"/>
      <w:szCs w:val="24"/>
      <w:lang w:eastAsia="en-GB"/>
    </w:rPr>
  </w:style>
  <w:style w:type="paragraph" w:styleId="BulletsBody" w:customStyle="1">
    <w:name w:val="Bullets Body"/>
    <w:basedOn w:val="Normal"/>
    <w:rsid w:val="007B3D68"/>
    <w:pPr>
      <w:numPr>
        <w:numId w:val="27"/>
      </w:numPr>
      <w:spacing w:before="100" w:line="240" w:lineRule="auto"/>
    </w:pPr>
    <w:rPr>
      <w:rFonts w:ascii="Arial" w:cs="Times New Roman" w:eastAsia="Times New Roman" w:hAnsi="Arial"/>
      <w:sz w:val="24"/>
      <w:szCs w:val="24"/>
    </w:rPr>
  </w:style>
  <w:style w:type="paragraph" w:styleId="BulletsLevel1" w:customStyle="1">
    <w:name w:val="Bullets Level 1"/>
    <w:basedOn w:val="Normal"/>
    <w:rsid w:val="007B3D68"/>
    <w:pPr>
      <w:numPr>
        <w:ilvl w:val="1"/>
        <w:numId w:val="27"/>
      </w:numPr>
      <w:tabs>
        <w:tab w:val="left" w:pos="1797"/>
      </w:tabs>
      <w:spacing w:before="100" w:line="240" w:lineRule="auto"/>
    </w:pPr>
    <w:rPr>
      <w:rFonts w:ascii="Arial" w:cs="Times New Roman" w:eastAsia="Times New Roman" w:hAnsi="Arial"/>
      <w:sz w:val="24"/>
      <w:szCs w:val="24"/>
    </w:rPr>
  </w:style>
  <w:style w:type="paragraph" w:styleId="BulletsLevel2" w:customStyle="1">
    <w:name w:val="Bullets Level 2"/>
    <w:basedOn w:val="BulletsLevel1"/>
    <w:rsid w:val="007B3D68"/>
    <w:pPr>
      <w:numPr>
        <w:ilvl w:val="2"/>
      </w:numPr>
      <w:tabs>
        <w:tab w:val="clear" w:pos="1797"/>
      </w:tabs>
    </w:pPr>
  </w:style>
  <w:style w:type="numbering" w:styleId="Definitions" w:customStyle="1">
    <w:name w:val="Definitions"/>
    <w:uiPriority w:val="99"/>
    <w:rsid w:val="00661E21"/>
  </w:style>
  <w:style w:type="paragraph" w:styleId="StdBodyText" w:customStyle="1">
    <w:name w:val="Std Body Text"/>
    <w:basedOn w:val="Normal"/>
    <w:qFormat w:val="1"/>
    <w:rsid w:val="00661E21"/>
    <w:pPr>
      <w:spacing w:before="100" w:line="240" w:lineRule="auto"/>
    </w:pPr>
    <w:rPr>
      <w:rFonts w:ascii="Arial" w:cs="Times New Roman" w:eastAsia="Times New Roman" w:hAnsi="Arial"/>
      <w:sz w:val="24"/>
      <w:szCs w:val="24"/>
    </w:rPr>
  </w:style>
  <w:style w:type="paragraph" w:styleId="DefinitionList" w:customStyle="1">
    <w:name w:val="Definition List"/>
    <w:basedOn w:val="Normal"/>
    <w:rsid w:val="00661E21"/>
    <w:pPr>
      <w:tabs>
        <w:tab w:val="num" w:pos="720"/>
      </w:tabs>
      <w:spacing w:before="100" w:line="240" w:lineRule="auto"/>
      <w:ind w:left="720" w:hanging="720"/>
    </w:pPr>
    <w:rPr>
      <w:rFonts w:ascii="Arial" w:cs="Times New Roman" w:eastAsia="Times New Roman" w:hAnsi="Arial"/>
      <w:sz w:val="24"/>
      <w:szCs w:val="24"/>
    </w:rPr>
  </w:style>
  <w:style w:type="paragraph" w:styleId="DefinitionListLevel1" w:customStyle="1">
    <w:name w:val="Definition List Level 1"/>
    <w:basedOn w:val="DefinitionList"/>
    <w:rsid w:val="00661E21"/>
    <w:pPr>
      <w:numPr>
        <w:ilvl w:val="1"/>
      </w:numPr>
      <w:tabs>
        <w:tab w:val="num" w:pos="720"/>
      </w:tabs>
      <w:ind w:left="720" w:hanging="720"/>
    </w:pPr>
  </w:style>
  <w:style w:type="paragraph" w:styleId="DefinitionListLevel2" w:customStyle="1">
    <w:name w:val="Definition List Level 2"/>
    <w:basedOn w:val="DefinitionListLevel1"/>
    <w:rsid w:val="00661E21"/>
    <w:pPr>
      <w:numPr>
        <w:ilvl w:val="2"/>
      </w:numPr>
      <w:tabs>
        <w:tab w:val="num" w:pos="720"/>
      </w:tabs>
      <w:ind w:left="720" w:hanging="720"/>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https://www.gov.uk/government/publications/blowing-the-whistle-list-of-prescribed-people-and-bodies--2/whistleblowing-list-of-prescribed-people-and-bodies"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open-standards-principles/open-standards-principles" TargetMode="External"/><Relationship Id="rId15" Type="http://schemas.openxmlformats.org/officeDocument/2006/relationships/footer" Target="footer3.xml"/><Relationship Id="rId14"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www.nationalarchives.gov.uk/doc/open-government-licence/version/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piadzUcKML/C7LCGW/T2jdOoJg==">CgMxLjAyCWguMzBqMHpsbDIJaC4yczhleW8xMgloLjE3ZHA4dnUyCWguMWZvYjl0ZTIJaC4zem55c2g3MgloLjJldDkycDAyCGgudHlqY3d0MgloLjNkeTZ2a20yCWguM3JkY3JqbjIJaC4yNmluMXJnMgloLjRkMzRvZzgyCGgubG54Yno5MgloLjM1bmt1bjIyCWguMXQzaDVzZjgAaigKFHN1Z2dlc3QuNDRxNTExY294ZGR0EhBNaWNoYWVsIE1vdXNkYWxlciExRUtiZV9NYWVDTGtqbnBydUNjNWktcTBHc09uQjZiVk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2023-07-27T01:15:00Z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f96841c6-4aaf-4c95-981c-f74652d96009</vt:lpwstr>
  </property>
  <property fmtid="{D5CDD505-2E9C-101B-9397-08002B2CF9AE}" pid="3" name="Plato EditorId">
    <vt:lpwstr>f96841c6-4aaf-4c95-981c-f74652d96009</vt:lpwstr>
  </property>
</Properties>
</file>